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4A2DB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42E06F3E">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EF4681D">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85.020</w:t>
            </w:r>
            <w:r>
              <w:rPr>
                <w:rFonts w:ascii="黑体" w:hAnsi="黑体" w:eastAsia="黑体"/>
                <w:sz w:val="21"/>
                <w:szCs w:val="21"/>
              </w:rPr>
              <w:t xml:space="preserve"> </w:t>
            </w:r>
            <w:r>
              <w:rPr>
                <w:rFonts w:ascii="黑体" w:hAnsi="黑体" w:eastAsia="黑体"/>
                <w:sz w:val="21"/>
                <w:szCs w:val="21"/>
              </w:rPr>
              <w:fldChar w:fldCharType="end"/>
            </w:r>
            <w:bookmarkEnd w:id="0"/>
          </w:p>
        </w:tc>
      </w:tr>
      <w:tr w14:paraId="5DFF9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1E2777B">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6A55BCF9">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C222</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14:paraId="4DD2CF4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353C04A4">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36</w:t>
            </w:r>
            <w:r>
              <w:fldChar w:fldCharType="end"/>
            </w:r>
            <w:bookmarkEnd w:id="3"/>
          </w:p>
        </w:tc>
      </w:tr>
    </w:tbl>
    <w:p w14:paraId="2BD21481">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15D94111">
      <w:pPr>
        <w:pStyle w:val="195"/>
        <w:framePr w:wrap="around"/>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36</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2024</w:t>
      </w:r>
      <w:r>
        <w:fldChar w:fldCharType="end"/>
      </w:r>
      <w:bookmarkEnd w:id="7"/>
    </w:p>
    <w:p w14:paraId="18CE5464">
      <w:pPr>
        <w:pStyle w:val="196"/>
        <w:framePr w:wrap="around"/>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12DC92CB">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86C49F3">
      <w:pPr>
        <w:pStyle w:val="50"/>
        <w:framePr w:w="9639" w:h="6976" w:hRule="exact" w:hSpace="0" w:vSpace="0" w:wrap="around" w:hAnchor="page" w:y="6408"/>
        <w:jc w:val="center"/>
        <w:rPr>
          <w:rFonts w:ascii="黑体" w:hAnsi="黑体" w:eastAsia="黑体"/>
          <w:b w:val="0"/>
          <w:bCs w:val="0"/>
          <w:w w:val="100"/>
        </w:rPr>
      </w:pPr>
    </w:p>
    <w:p w14:paraId="168C55DD">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地理标志产品 铅山连四纸</w:t>
      </w:r>
      <w:r>
        <w:fldChar w:fldCharType="end"/>
      </w:r>
      <w:bookmarkEnd w:id="9"/>
    </w:p>
    <w:p w14:paraId="7D6859E6">
      <w:pPr>
        <w:framePr w:w="9639" w:h="6974" w:hRule="exact" w:wrap="around" w:vAnchor="page" w:hAnchor="page" w:x="1419" w:y="6408" w:anchorLock="1"/>
        <w:ind w:left="-1418"/>
      </w:pPr>
    </w:p>
    <w:p w14:paraId="1FD23161">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 xml:space="preserve">Product of geographical indication  </w:t>
      </w:r>
      <w:r>
        <w:rPr>
          <w:rFonts w:eastAsia="黑体"/>
          <w:szCs w:val="28"/>
        </w:rPr>
        <w:t>Yanshan Liansi Paper</w:t>
      </w:r>
      <w:r>
        <w:rPr>
          <w:rFonts w:eastAsia="黑体"/>
          <w:szCs w:val="28"/>
        </w:rPr>
        <w:fldChar w:fldCharType="end"/>
      </w:r>
      <w:bookmarkEnd w:id="10"/>
    </w:p>
    <w:p w14:paraId="26784B50">
      <w:pPr>
        <w:framePr w:w="9639" w:h="6974" w:hRule="exact" w:wrap="around" w:vAnchor="page" w:hAnchor="page" w:x="1419" w:y="6408" w:anchorLock="1"/>
        <w:spacing w:line="760" w:lineRule="exact"/>
        <w:ind w:left="-1418"/>
      </w:pPr>
    </w:p>
    <w:p w14:paraId="3C0CE2F6">
      <w:pPr>
        <w:pStyle w:val="125"/>
        <w:framePr w:w="9639" w:h="6974" w:hRule="exact" w:wrap="around" w:vAnchor="page" w:hAnchor="page" w:x="1419" w:y="6408" w:anchorLock="1"/>
        <w:textAlignment w:val="bottom"/>
        <w:rPr>
          <w:rFonts w:eastAsia="黑体"/>
          <w:szCs w:val="28"/>
        </w:rPr>
      </w:pPr>
    </w:p>
    <w:p w14:paraId="24D87BBE">
      <w:pPr>
        <w:pStyle w:val="125"/>
        <w:framePr w:w="9639" w:h="6974" w:hRule="exact" w:wrap="around" w:vAnchor="page" w:hAnchor="page" w:x="1419" w:y="6408" w:anchorLock="1"/>
        <w:spacing w:before="440" w:after="160"/>
        <w:textAlignment w:val="bottom"/>
        <w:rPr>
          <w:sz w:val="24"/>
          <w:szCs w:val="28"/>
        </w:rPr>
      </w:pPr>
      <w:bookmarkStart w:id="11" w:name="下拉1"/>
      <w:r>
        <w:rPr>
          <w:rFonts w:hint="eastAsia" w:cs="Times New Roman"/>
          <w:sz w:val="24"/>
          <w:szCs w:val="28"/>
          <w:lang w:val="en-US" w:eastAsia="zh-CN" w:bidi="ar-SA"/>
        </w:rPr>
        <w:t>（征求意见稿</w:t>
      </w:r>
      <w:bookmarkEnd w:id="11"/>
      <w:r>
        <w:rPr>
          <w:rFonts w:hint="eastAsia" w:cs="Times New Roman"/>
          <w:sz w:val="24"/>
          <w:szCs w:val="28"/>
          <w:lang w:val="en-US" w:eastAsia="zh-CN" w:bidi="ar-SA"/>
        </w:rPr>
        <w:t>）</w:t>
      </w:r>
    </w:p>
    <w:p w14:paraId="0A66CECB">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47CD88F4">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2AB9189">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481568C2">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412AAB40">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江西省市场监督管理局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77F6C7DB">
      <w:pPr>
        <w:rPr>
          <w:rFonts w:ascii="宋体" w:hAnsi="宋体"/>
          <w:sz w:val="28"/>
          <w:szCs w:val="28"/>
        </w:rPr>
        <w:sectPr>
          <w:headerReference r:id="rId7" w:type="first"/>
          <w:footerReference r:id="rId9" w:type="first"/>
          <w:headerReference r:id="rId5" w:type="default"/>
          <w:headerReference r:id="rId6" w:type="even"/>
          <w:footerReference r:id="rId8"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C5D5BD2">
      <w:pPr>
        <w:pStyle w:val="91"/>
        <w:spacing w:after="468"/>
      </w:pPr>
      <w:bookmarkStart w:id="21" w:name="BookMark1"/>
      <w:r>
        <w:rPr>
          <w:rFonts w:hint="eastAsia"/>
          <w:spacing w:val="320"/>
        </w:rPr>
        <w:t>目</w:t>
      </w:r>
      <w:r>
        <w:rPr>
          <w:rFonts w:hint="eastAsia"/>
        </w:rPr>
        <w:t>次</w:t>
      </w:r>
    </w:p>
    <w:p w14:paraId="6A2E9BEF">
      <w:pPr>
        <w:pStyle w:val="19"/>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"_Toc138084080" </w:instrText>
      </w:r>
      <w:r>
        <w:fldChar w:fldCharType="separate"/>
      </w:r>
      <w:r>
        <w:rPr>
          <w:rStyle w:val="32"/>
          <w:rFonts w:hint="eastAsia"/>
        </w:rPr>
        <w:t>前言</w:t>
      </w:r>
      <w:r>
        <w:tab/>
      </w:r>
      <w:r>
        <w:fldChar w:fldCharType="begin"/>
      </w:r>
      <w:r>
        <w:instrText xml:space="preserve"> PAGEREF _Toc138084080 \h </w:instrText>
      </w:r>
      <w:r>
        <w:fldChar w:fldCharType="separate"/>
      </w:r>
      <w:r>
        <w:t>II</w:t>
      </w:r>
      <w:r>
        <w:fldChar w:fldCharType="end"/>
      </w:r>
      <w:r>
        <w:fldChar w:fldCharType="end"/>
      </w:r>
    </w:p>
    <w:p w14:paraId="7B32380D">
      <w:pPr>
        <w:pStyle w:val="19"/>
        <w:tabs>
          <w:tab w:val="right" w:leader="dot" w:pos="9344"/>
        </w:tabs>
        <w:rPr>
          <w:rFonts w:asciiTheme="minorHAnsi" w:hAnsiTheme="minorHAnsi" w:eastAsiaTheme="minorEastAsia" w:cstheme="minorBidi"/>
          <w:szCs w:val="22"/>
        </w:rPr>
      </w:pPr>
      <w:r>
        <w:fldChar w:fldCharType="begin"/>
      </w:r>
      <w:r>
        <w:instrText xml:space="preserve"> HYPERLINK \l "_Toc138084081" </w:instrText>
      </w:r>
      <w:r>
        <w:fldChar w:fldCharType="separate"/>
      </w:r>
      <w:r>
        <w:rPr>
          <w:rStyle w:val="32"/>
        </w:rPr>
        <w:t xml:space="preserve">1 </w:t>
      </w:r>
      <w:r>
        <w:rPr>
          <w:rStyle w:val="32"/>
          <w:rFonts w:hint="eastAsia"/>
        </w:rPr>
        <w:t xml:space="preserve"> 范围</w:t>
      </w:r>
      <w:r>
        <w:tab/>
      </w:r>
      <w:r>
        <w:fldChar w:fldCharType="begin"/>
      </w:r>
      <w:r>
        <w:instrText xml:space="preserve"> PAGEREF _Toc138084081 \h </w:instrText>
      </w:r>
      <w:r>
        <w:fldChar w:fldCharType="separate"/>
      </w:r>
      <w:r>
        <w:t>1</w:t>
      </w:r>
      <w:r>
        <w:fldChar w:fldCharType="end"/>
      </w:r>
      <w:r>
        <w:fldChar w:fldCharType="end"/>
      </w:r>
    </w:p>
    <w:p w14:paraId="5D049991">
      <w:pPr>
        <w:pStyle w:val="19"/>
        <w:tabs>
          <w:tab w:val="right" w:leader="dot" w:pos="9344"/>
        </w:tabs>
        <w:rPr>
          <w:rFonts w:asciiTheme="minorHAnsi" w:hAnsiTheme="minorHAnsi" w:eastAsiaTheme="minorEastAsia" w:cstheme="minorBidi"/>
          <w:szCs w:val="22"/>
        </w:rPr>
      </w:pPr>
      <w:r>
        <w:fldChar w:fldCharType="begin"/>
      </w:r>
      <w:r>
        <w:instrText xml:space="preserve"> HYPERLINK \l "_Toc138084082" </w:instrText>
      </w:r>
      <w:r>
        <w:fldChar w:fldCharType="separate"/>
      </w:r>
      <w:r>
        <w:rPr>
          <w:rStyle w:val="32"/>
        </w:rPr>
        <w:t xml:space="preserve">2 </w:t>
      </w:r>
      <w:r>
        <w:rPr>
          <w:rStyle w:val="32"/>
          <w:rFonts w:hint="eastAsia"/>
        </w:rPr>
        <w:t xml:space="preserve"> 规范性引用文件</w:t>
      </w:r>
      <w:r>
        <w:tab/>
      </w:r>
      <w:r>
        <w:fldChar w:fldCharType="begin"/>
      </w:r>
      <w:r>
        <w:instrText xml:space="preserve"> PAGEREF _Toc138084082 \h </w:instrText>
      </w:r>
      <w:r>
        <w:fldChar w:fldCharType="separate"/>
      </w:r>
      <w:r>
        <w:t>1</w:t>
      </w:r>
      <w:r>
        <w:fldChar w:fldCharType="end"/>
      </w:r>
      <w:r>
        <w:fldChar w:fldCharType="end"/>
      </w:r>
    </w:p>
    <w:p w14:paraId="4BD7AFD2">
      <w:pPr>
        <w:pStyle w:val="19"/>
        <w:tabs>
          <w:tab w:val="right" w:leader="dot" w:pos="9344"/>
        </w:tabs>
      </w:pPr>
      <w:r>
        <w:fldChar w:fldCharType="begin"/>
      </w:r>
      <w:r>
        <w:instrText xml:space="preserve"> HYPERLINK \l "_Toc138084083" </w:instrText>
      </w:r>
      <w:r>
        <w:fldChar w:fldCharType="separate"/>
      </w:r>
      <w:r>
        <w:rPr>
          <w:rStyle w:val="32"/>
        </w:rPr>
        <w:t xml:space="preserve">3 </w:t>
      </w:r>
      <w:r>
        <w:rPr>
          <w:rStyle w:val="32"/>
          <w:rFonts w:hint="eastAsia"/>
        </w:rPr>
        <w:t xml:space="preserve"> 术语和定义</w:t>
      </w:r>
      <w:r>
        <w:tab/>
      </w:r>
      <w:r>
        <w:fldChar w:fldCharType="begin"/>
      </w:r>
      <w:r>
        <w:instrText xml:space="preserve"> PAGEREF _Toc138084083 \h </w:instrText>
      </w:r>
      <w:r>
        <w:fldChar w:fldCharType="separate"/>
      </w:r>
      <w:r>
        <w:t>1</w:t>
      </w:r>
      <w:r>
        <w:fldChar w:fldCharType="end"/>
      </w:r>
      <w:r>
        <w:fldChar w:fldCharType="end"/>
      </w:r>
    </w:p>
    <w:p w14:paraId="173FAF0C">
      <w:pPr>
        <w:pStyle w:val="19"/>
        <w:tabs>
          <w:tab w:val="right" w:leader="dot" w:pos="9344"/>
        </w:tabs>
        <w:rPr>
          <w:rFonts w:hint="eastAsia" w:eastAsia="宋体"/>
          <w:b/>
          <w:bCs/>
          <w:lang w:eastAsia="zh-CN"/>
        </w:rPr>
      </w:pPr>
      <w:r>
        <w:rPr>
          <w:rFonts w:hint="eastAsia"/>
        </w:rPr>
        <w:t>4  地理标志保护范围</w:t>
      </w:r>
      <w:r>
        <w:tab/>
      </w:r>
      <w:r>
        <w:rPr>
          <w:rFonts w:hint="eastAsia"/>
          <w:lang w:val="en-US" w:eastAsia="zh-CN"/>
        </w:rPr>
        <w:t>1</w:t>
      </w:r>
    </w:p>
    <w:p w14:paraId="0009F224">
      <w:pPr>
        <w:pStyle w:val="19"/>
        <w:tabs>
          <w:tab w:val="right" w:leader="dot" w:pos="9344"/>
        </w:tabs>
        <w:rPr>
          <w:rFonts w:asciiTheme="minorHAnsi" w:hAnsiTheme="minorHAnsi" w:eastAsiaTheme="minorEastAsia" w:cstheme="minorBidi"/>
          <w:szCs w:val="22"/>
        </w:rPr>
      </w:pPr>
      <w:r>
        <w:fldChar w:fldCharType="begin"/>
      </w:r>
      <w:r>
        <w:instrText xml:space="preserve"> HYPERLINK \l "_Toc138084084" </w:instrText>
      </w:r>
      <w:r>
        <w:fldChar w:fldCharType="separate"/>
      </w:r>
      <w:r>
        <w:rPr>
          <w:rFonts w:hint="eastAsia"/>
        </w:rPr>
        <w:t>5</w:t>
      </w:r>
      <w:r>
        <w:rPr>
          <w:rStyle w:val="32"/>
        </w:rPr>
        <w:t xml:space="preserve"> </w:t>
      </w:r>
      <w:r>
        <w:rPr>
          <w:rStyle w:val="32"/>
          <w:rFonts w:hint="eastAsia"/>
        </w:rPr>
        <w:t xml:space="preserve"> 产品类别</w:t>
      </w:r>
      <w:r>
        <w:tab/>
      </w:r>
      <w:r>
        <w:rPr>
          <w:rFonts w:hint="eastAsia"/>
        </w:rPr>
        <w:t>2</w:t>
      </w:r>
      <w:r>
        <w:rPr>
          <w:rFonts w:hint="eastAsia"/>
        </w:rPr>
        <w:fldChar w:fldCharType="end"/>
      </w:r>
    </w:p>
    <w:p w14:paraId="16477B7F">
      <w:pPr>
        <w:pStyle w:val="19"/>
        <w:tabs>
          <w:tab w:val="right" w:leader="dot" w:pos="9344"/>
        </w:tabs>
        <w:rPr>
          <w:rFonts w:asciiTheme="minorHAnsi" w:hAnsiTheme="minorHAnsi" w:eastAsiaTheme="minorEastAsia" w:cstheme="minorBidi"/>
          <w:szCs w:val="22"/>
        </w:rPr>
      </w:pPr>
      <w:r>
        <w:fldChar w:fldCharType="begin"/>
      </w:r>
      <w:r>
        <w:instrText xml:space="preserve"> HYPERLINK \l "_Toc138084085" </w:instrText>
      </w:r>
      <w:r>
        <w:fldChar w:fldCharType="separate"/>
      </w:r>
      <w:r>
        <w:rPr>
          <w:rFonts w:hint="eastAsia"/>
        </w:rPr>
        <w:t>6</w:t>
      </w:r>
      <w:r>
        <w:rPr>
          <w:rStyle w:val="32"/>
        </w:rPr>
        <w:t xml:space="preserve"> </w:t>
      </w:r>
      <w:r>
        <w:rPr>
          <w:rStyle w:val="32"/>
          <w:rFonts w:hint="eastAsia"/>
        </w:rPr>
        <w:t xml:space="preserve"> 要求</w:t>
      </w:r>
      <w:r>
        <w:tab/>
      </w:r>
      <w:r>
        <w:fldChar w:fldCharType="begin"/>
      </w:r>
      <w:r>
        <w:instrText xml:space="preserve"> PAGEREF _Toc138084085 \h </w:instrText>
      </w:r>
      <w:r>
        <w:fldChar w:fldCharType="separate"/>
      </w:r>
      <w:r>
        <w:t>2</w:t>
      </w:r>
      <w:r>
        <w:fldChar w:fldCharType="end"/>
      </w:r>
      <w:r>
        <w:fldChar w:fldCharType="end"/>
      </w:r>
    </w:p>
    <w:p w14:paraId="28E78101">
      <w:pPr>
        <w:pStyle w:val="19"/>
        <w:tabs>
          <w:tab w:val="right" w:leader="dot" w:pos="9344"/>
        </w:tabs>
        <w:rPr>
          <w:rFonts w:asciiTheme="minorHAnsi" w:hAnsiTheme="minorHAnsi" w:eastAsiaTheme="minorEastAsia" w:cstheme="minorBidi"/>
          <w:szCs w:val="22"/>
        </w:rPr>
      </w:pPr>
      <w:r>
        <w:fldChar w:fldCharType="begin"/>
      </w:r>
      <w:r>
        <w:instrText xml:space="preserve"> HYPERLINK \l "_Toc138084086" </w:instrText>
      </w:r>
      <w:r>
        <w:fldChar w:fldCharType="separate"/>
      </w:r>
      <w:r>
        <w:rPr>
          <w:rFonts w:hint="eastAsia"/>
        </w:rPr>
        <w:t>7</w:t>
      </w:r>
      <w:r>
        <w:rPr>
          <w:rStyle w:val="32"/>
        </w:rPr>
        <w:t xml:space="preserve"> </w:t>
      </w:r>
      <w:r>
        <w:rPr>
          <w:rStyle w:val="32"/>
          <w:rFonts w:hint="eastAsia"/>
        </w:rPr>
        <w:t xml:space="preserve"> 试验方法</w:t>
      </w:r>
      <w:r>
        <w:tab/>
      </w:r>
      <w:r>
        <w:rPr>
          <w:rFonts w:hint="eastAsia"/>
        </w:rPr>
        <w:t>3</w:t>
      </w:r>
      <w:r>
        <w:rPr>
          <w:rFonts w:hint="eastAsia"/>
        </w:rPr>
        <w:fldChar w:fldCharType="end"/>
      </w:r>
    </w:p>
    <w:p w14:paraId="3E93A34A">
      <w:pPr>
        <w:pStyle w:val="19"/>
        <w:tabs>
          <w:tab w:val="right" w:leader="dot" w:pos="9344"/>
        </w:tabs>
        <w:rPr>
          <w:rFonts w:asciiTheme="minorHAnsi" w:hAnsiTheme="minorHAnsi" w:eastAsiaTheme="minorEastAsia" w:cstheme="minorBidi"/>
          <w:szCs w:val="22"/>
        </w:rPr>
      </w:pPr>
      <w:r>
        <w:fldChar w:fldCharType="begin"/>
      </w:r>
      <w:r>
        <w:instrText xml:space="preserve"> HYPERLINK \l "_Toc138084087" </w:instrText>
      </w:r>
      <w:r>
        <w:fldChar w:fldCharType="separate"/>
      </w:r>
      <w:r>
        <w:rPr>
          <w:rFonts w:hint="eastAsia"/>
        </w:rPr>
        <w:t>8</w:t>
      </w:r>
      <w:r>
        <w:rPr>
          <w:rStyle w:val="32"/>
        </w:rPr>
        <w:t xml:space="preserve"> </w:t>
      </w:r>
      <w:r>
        <w:rPr>
          <w:rStyle w:val="32"/>
          <w:rFonts w:hint="eastAsia"/>
        </w:rPr>
        <w:t xml:space="preserve"> 检验规则</w:t>
      </w:r>
      <w:r>
        <w:tab/>
      </w:r>
      <w:r>
        <w:rPr>
          <w:rFonts w:hint="eastAsia"/>
          <w:lang w:val="en-US" w:eastAsia="zh-CN"/>
        </w:rPr>
        <w:t>3</w:t>
      </w:r>
      <w:r>
        <w:rPr>
          <w:rFonts w:hint="eastAsia"/>
        </w:rPr>
        <w:fldChar w:fldCharType="end"/>
      </w:r>
    </w:p>
    <w:p w14:paraId="7B89597A">
      <w:pPr>
        <w:pStyle w:val="19"/>
        <w:tabs>
          <w:tab w:val="right" w:leader="dot" w:pos="9344"/>
        </w:tabs>
      </w:pPr>
      <w:r>
        <w:fldChar w:fldCharType="begin"/>
      </w:r>
      <w:r>
        <w:instrText xml:space="preserve"> HYPERLINK \l "_Toc138084088" </w:instrText>
      </w:r>
      <w:r>
        <w:fldChar w:fldCharType="separate"/>
      </w:r>
      <w:r>
        <w:rPr>
          <w:rFonts w:hint="eastAsia"/>
        </w:rPr>
        <w:t>9</w:t>
      </w:r>
      <w:r>
        <w:rPr>
          <w:rStyle w:val="32"/>
        </w:rPr>
        <w:t xml:space="preserve"> </w:t>
      </w:r>
      <w:r>
        <w:rPr>
          <w:rStyle w:val="32"/>
          <w:rFonts w:hint="eastAsia"/>
        </w:rPr>
        <w:t xml:space="preserve"> 标志、包装、运输、贮存</w:t>
      </w:r>
      <w:bookmarkStart w:id="22" w:name="OLE_LINK1"/>
      <w:r>
        <w:tab/>
      </w:r>
      <w:bookmarkEnd w:id="22"/>
      <w:r>
        <w:fldChar w:fldCharType="begin"/>
      </w:r>
      <w:r>
        <w:instrText xml:space="preserve"> PAGEREF _Toc138084088 \h </w:instrText>
      </w:r>
      <w:r>
        <w:fldChar w:fldCharType="separate"/>
      </w:r>
      <w:r>
        <w:t>4</w:t>
      </w:r>
      <w:r>
        <w:fldChar w:fldCharType="end"/>
      </w:r>
      <w:r>
        <w:fldChar w:fldCharType="end"/>
      </w:r>
    </w:p>
    <w:p w14:paraId="425F67C0">
      <w:pPr>
        <w:pStyle w:val="19"/>
        <w:tabs>
          <w:tab w:val="right" w:leader="dot" w:pos="9344"/>
        </w:tabs>
        <w:rPr>
          <w:rFonts w:hint="eastAsia" w:eastAsia="宋体"/>
          <w:lang w:eastAsia="zh-CN"/>
        </w:rPr>
      </w:pPr>
      <w:r>
        <w:rPr>
          <w:rFonts w:hint="eastAsia"/>
        </w:rPr>
        <w:t>附录A（规范性) 铅山连四纸地理标志保护范围</w:t>
      </w:r>
      <w:r>
        <w:tab/>
      </w:r>
      <w:r>
        <w:rPr>
          <w:rFonts w:hint="eastAsia"/>
          <w:lang w:val="en-US" w:eastAsia="zh-CN"/>
        </w:rPr>
        <w:t>5</w:t>
      </w:r>
    </w:p>
    <w:p w14:paraId="2A2ACF48">
      <w:pPr>
        <w:pStyle w:val="19"/>
        <w:tabs>
          <w:tab w:val="right" w:leader="dot" w:pos="9344"/>
        </w:tabs>
        <w:rPr>
          <w:rFonts w:hint="eastAsia" w:eastAsia="宋体"/>
          <w:lang w:eastAsia="zh-CN"/>
        </w:rPr>
      </w:pPr>
      <w:r>
        <w:rPr>
          <w:rFonts w:hint="eastAsia"/>
        </w:rPr>
        <w:t>附录B（规范性）铅山连四纸工艺流程</w:t>
      </w:r>
      <w:r>
        <w:tab/>
      </w:r>
      <w:r>
        <w:rPr>
          <w:rFonts w:hint="eastAsia"/>
          <w:lang w:val="en-US" w:eastAsia="zh-CN"/>
        </w:rPr>
        <w:t>6</w:t>
      </w:r>
    </w:p>
    <w:p w14:paraId="05C23C5D"/>
    <w:p w14:paraId="7F49DD8C"/>
    <w:p w14:paraId="4868968F">
      <w:pPr>
        <w:pStyle w:val="91"/>
        <w:spacing w:after="468"/>
        <w:jc w:val="both"/>
        <w:sectPr>
          <w:headerReference r:id="rId10" w:type="default"/>
          <w:footerReference r:id="rId12" w:type="default"/>
          <w:headerReference r:id="rId11"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r>
        <w:tab/>
      </w:r>
    </w:p>
    <w:bookmarkEnd w:id="21"/>
    <w:p w14:paraId="6E03CED3">
      <w:pPr>
        <w:pStyle w:val="89"/>
        <w:spacing w:before="900" w:after="468"/>
      </w:pPr>
      <w:bookmarkStart w:id="23" w:name="_Toc138084080"/>
      <w:bookmarkStart w:id="24" w:name="BookMark2"/>
      <w:r>
        <w:rPr>
          <w:spacing w:val="320"/>
        </w:rPr>
        <w:t>前</w:t>
      </w:r>
      <w:r>
        <w:t>言</w:t>
      </w:r>
      <w:bookmarkEnd w:id="23"/>
    </w:p>
    <w:p w14:paraId="4B0A0FBC">
      <w:pPr>
        <w:pStyle w:val="56"/>
        <w:ind w:firstLine="420"/>
      </w:pPr>
      <w:r>
        <w:rPr>
          <w:rFonts w:hint="eastAsia"/>
        </w:rPr>
        <w:t>本文件按照GB/T 1.1—2020《标准化工作导则  第1部分：标准化文件的结构和起草规则》的规定起草。</w:t>
      </w:r>
    </w:p>
    <w:p w14:paraId="2F3A329E">
      <w:pPr>
        <w:pStyle w:val="56"/>
        <w:ind w:firstLine="420"/>
      </w:pPr>
      <w:r>
        <w:rPr>
          <w:rFonts w:hint="eastAsia"/>
        </w:rPr>
        <w:t>请注意本文件的某些内容可能涉及专利。本文件的发布机构不承担识别专利的责任。</w:t>
      </w:r>
    </w:p>
    <w:p w14:paraId="77E56CA2">
      <w:pPr>
        <w:pStyle w:val="56"/>
        <w:ind w:firstLine="420"/>
      </w:pPr>
      <w:r>
        <w:rPr>
          <w:rFonts w:hint="eastAsia"/>
        </w:rPr>
        <w:t>本文件</w:t>
      </w:r>
      <w:r>
        <w:rPr>
          <w:rFonts w:hint="eastAsia"/>
          <w:lang w:eastAsia="zh-CN"/>
        </w:rPr>
        <w:t>江西省市场监督管理局</w:t>
      </w:r>
      <w:r>
        <w:rPr>
          <w:rFonts w:hint="eastAsia"/>
        </w:rPr>
        <w:t>提出。</w:t>
      </w:r>
    </w:p>
    <w:p w14:paraId="435BE9AE">
      <w:pPr>
        <w:pStyle w:val="56"/>
        <w:ind w:firstLine="420"/>
      </w:pPr>
      <w:r>
        <w:rPr>
          <w:rFonts w:hint="eastAsia"/>
        </w:rPr>
        <w:t>本文件由江西省地理标准产品标准化技术委员会归口。</w:t>
      </w:r>
    </w:p>
    <w:p w14:paraId="6EE8E9EE">
      <w:pPr>
        <w:pStyle w:val="56"/>
        <w:ind w:firstLine="420"/>
        <w:rPr>
          <w:rFonts w:hAnsi="宋体" w:cs="宋体"/>
          <w:szCs w:val="21"/>
        </w:rPr>
      </w:pPr>
      <w:r>
        <w:rPr>
          <w:rFonts w:hint="eastAsia"/>
        </w:rPr>
        <w:t>本文件起草单位：铅山连四纸发展有限公司、铅山县市场监督管理局、</w:t>
      </w:r>
      <w:r>
        <w:rPr>
          <w:rFonts w:hint="eastAsia"/>
          <w:lang w:val="en-US" w:eastAsia="zh-CN"/>
        </w:rPr>
        <w:t>江西</w:t>
      </w:r>
      <w:r>
        <w:rPr>
          <w:rFonts w:hint="eastAsia"/>
        </w:rPr>
        <w:t>华中标准化事务所、</w:t>
      </w:r>
      <w:r>
        <w:rPr>
          <w:rFonts w:hint="eastAsia" w:hAnsi="宋体" w:cs="宋体"/>
          <w:szCs w:val="21"/>
        </w:rPr>
        <w:t>广州必维技术检测有限公司。</w:t>
      </w:r>
    </w:p>
    <w:p w14:paraId="594AE8D6">
      <w:pPr>
        <w:pStyle w:val="56"/>
        <w:ind w:firstLine="420"/>
      </w:pPr>
      <w:r>
        <w:rPr>
          <w:rFonts w:hint="eastAsia"/>
        </w:rPr>
        <w:t>本文件主要起草人：</w:t>
      </w:r>
      <w:r>
        <w:rPr>
          <w:rFonts w:hint="eastAsia"/>
          <w:color w:val="000000" w:themeColor="text1"/>
          <w14:textFill>
            <w14:solidFill>
              <w14:schemeClr w14:val="tx1"/>
            </w14:solidFill>
          </w14:textFill>
        </w:rPr>
        <w:t xml:space="preserve">潘海波、马灿荣、潘洪波 </w:t>
      </w:r>
      <w:r>
        <w:rPr>
          <w:rFonts w:hint="eastAsia"/>
        </w:rPr>
        <w:t>、王剑、</w:t>
      </w:r>
      <w:r>
        <w:rPr>
          <w:rFonts w:hint="eastAsia"/>
          <w:lang w:val="en-US" w:eastAsia="zh-CN"/>
        </w:rPr>
        <w:t>徐璟、</w:t>
      </w:r>
      <w:r>
        <w:rPr>
          <w:rFonts w:hint="eastAsia"/>
        </w:rPr>
        <w:t>郑进生</w:t>
      </w:r>
      <w:r>
        <w:rPr>
          <w:rFonts w:hint="eastAsia"/>
          <w:lang w:eastAsia="zh-CN"/>
        </w:rPr>
        <w:t>、</w:t>
      </w:r>
      <w:r>
        <w:rPr>
          <w:rFonts w:hint="eastAsia"/>
          <w:lang w:val="en-US" w:eastAsia="zh-CN"/>
        </w:rPr>
        <w:t>杨碧霞、徐青春、唐雨</w:t>
      </w:r>
      <w:r>
        <w:rPr>
          <w:rFonts w:hint="eastAsia"/>
        </w:rPr>
        <w:t>。</w:t>
      </w:r>
    </w:p>
    <w:p w14:paraId="186C2F34">
      <w:pPr>
        <w:pStyle w:val="56"/>
        <w:ind w:firstLine="420"/>
      </w:pPr>
    </w:p>
    <w:p w14:paraId="15BECF99">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4"/>
    <w:p w14:paraId="3C273773">
      <w:pPr>
        <w:spacing w:line="20" w:lineRule="exact"/>
        <w:jc w:val="center"/>
        <w:rPr>
          <w:rStyle w:val="30"/>
        </w:rPr>
      </w:pPr>
      <w:bookmarkStart w:id="25" w:name="BookMark4"/>
    </w:p>
    <w:p w14:paraId="73820124">
      <w:pPr>
        <w:spacing w:line="20" w:lineRule="exact"/>
        <w:jc w:val="center"/>
        <w:rPr>
          <w:rFonts w:ascii="黑体" w:hAnsi="黑体" w:eastAsia="黑体"/>
          <w:sz w:val="32"/>
          <w:szCs w:val="32"/>
        </w:rPr>
      </w:pPr>
    </w:p>
    <w:sdt>
      <w:sdtPr>
        <w:tag w:val="NEW_STAND_NAME"/>
        <w:id w:val="595910757"/>
        <w:lock w:val="sdtLocked"/>
        <w:placeholder>
          <w:docPart w:val="F463EEA2447D4B5D8801B18F58E98CA2"/>
        </w:placeholder>
      </w:sdtPr>
      <w:sdtContent>
        <w:p w14:paraId="301BCAD4">
          <w:pPr>
            <w:pStyle w:val="177"/>
            <w:spacing w:before="3" w:beforeLines="1" w:after="686" w:afterLines="220"/>
          </w:pPr>
          <w:bookmarkStart w:id="26" w:name="NEW_STAND_NAME"/>
          <w:r>
            <w:rPr>
              <w:rFonts w:hint="eastAsia"/>
            </w:rPr>
            <w:t>地理标志产品 铅山连四纸</w:t>
          </w:r>
        </w:p>
      </w:sdtContent>
    </w:sdt>
    <w:bookmarkEnd w:id="26"/>
    <w:p w14:paraId="3CB78AE9">
      <w:pPr>
        <w:pStyle w:val="104"/>
        <w:spacing w:before="312" w:after="312"/>
      </w:pPr>
      <w:bookmarkStart w:id="27" w:name="_Toc97191423"/>
      <w:bookmarkStart w:id="28" w:name="_Toc17233325"/>
      <w:bookmarkStart w:id="29" w:name="_Toc26986771"/>
      <w:bookmarkStart w:id="30" w:name="_Toc24884211"/>
      <w:bookmarkStart w:id="31" w:name="_Toc17233333"/>
      <w:bookmarkStart w:id="32" w:name="_Toc26648465"/>
      <w:bookmarkStart w:id="33" w:name="_Toc26986530"/>
      <w:bookmarkStart w:id="34" w:name="_Toc24884218"/>
      <w:bookmarkStart w:id="35" w:name="_Toc138084081"/>
      <w:bookmarkStart w:id="36" w:name="_Toc26718930"/>
      <w:r>
        <w:rPr>
          <w:rFonts w:hint="eastAsia"/>
        </w:rPr>
        <w:t>范围</w:t>
      </w:r>
      <w:bookmarkEnd w:id="27"/>
      <w:bookmarkEnd w:id="28"/>
      <w:bookmarkEnd w:id="29"/>
      <w:bookmarkEnd w:id="30"/>
      <w:bookmarkEnd w:id="31"/>
      <w:bookmarkEnd w:id="32"/>
      <w:bookmarkEnd w:id="33"/>
      <w:bookmarkEnd w:id="34"/>
      <w:bookmarkEnd w:id="35"/>
      <w:bookmarkEnd w:id="36"/>
    </w:p>
    <w:p w14:paraId="16F51A54">
      <w:pPr>
        <w:pStyle w:val="56"/>
        <w:ind w:firstLine="420"/>
      </w:pPr>
      <w:bookmarkStart w:id="37" w:name="_Toc17233326"/>
      <w:bookmarkStart w:id="38" w:name="_Toc24884212"/>
      <w:bookmarkStart w:id="39" w:name="_Toc24884219"/>
      <w:bookmarkStart w:id="40" w:name="_Toc26648466"/>
      <w:bookmarkStart w:id="41" w:name="_Toc17233334"/>
      <w:r>
        <w:rPr>
          <w:rFonts w:hint="eastAsia"/>
        </w:rPr>
        <w:t>本文件规定了铅山连四纸的术语和定义、产品类别、要求、检验方法、检验规则及标志、包装、运输、贮存。</w:t>
      </w:r>
    </w:p>
    <w:p w14:paraId="45BAFFE1">
      <w:pPr>
        <w:ind w:firstLine="420" w:firstLineChars="200"/>
      </w:pPr>
      <w:r>
        <w:t>本</w:t>
      </w:r>
      <w:r>
        <w:rPr>
          <w:rFonts w:hint="eastAsia"/>
        </w:rPr>
        <w:t>文件</w:t>
      </w:r>
      <w:r>
        <w:t>适用于</w:t>
      </w:r>
      <w:r>
        <w:rPr>
          <w:rFonts w:hint="eastAsia" w:hAnsi="宋体" w:cs="宋体"/>
        </w:rPr>
        <w:t>原</w:t>
      </w:r>
      <w:r>
        <w:rPr>
          <w:rFonts w:hint="eastAsia" w:ascii="宋体" w:hAnsi="宋体" w:cs="宋体"/>
        </w:rPr>
        <w:t>国家质量监督检验检疫总局</w:t>
      </w:r>
      <w:r>
        <w:t>根据</w:t>
      </w:r>
      <w:r>
        <w:rPr>
          <w:rFonts w:hint="eastAsia"/>
        </w:rPr>
        <w:t>《</w:t>
      </w:r>
      <w:r>
        <w:t>地理标志产品保护规定</w:t>
      </w:r>
      <w:r>
        <w:rPr>
          <w:rFonts w:hint="eastAsia"/>
        </w:rPr>
        <w:t>》</w:t>
      </w:r>
      <w:r>
        <w:t>批准保护</w:t>
      </w:r>
      <w:r>
        <w:rPr>
          <w:rFonts w:hint="eastAsia"/>
        </w:rPr>
        <w:t>的铅山连四纸。</w:t>
      </w:r>
    </w:p>
    <w:p w14:paraId="75B1E854">
      <w:pPr>
        <w:pStyle w:val="104"/>
        <w:spacing w:before="312" w:after="312"/>
      </w:pPr>
      <w:bookmarkStart w:id="42" w:name="_Toc97191424"/>
      <w:bookmarkStart w:id="43" w:name="_Toc26986772"/>
      <w:bookmarkStart w:id="44" w:name="_Toc26986531"/>
      <w:bookmarkStart w:id="45" w:name="_Toc26718931"/>
      <w:bookmarkStart w:id="46" w:name="_Toc138084082"/>
      <w:r>
        <w:rPr>
          <w:rFonts w:hint="eastAsia"/>
        </w:rPr>
        <w:t>规范性引用文件</w:t>
      </w:r>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A9EC799F015D46F59B6B1FE99D5A4C2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91B81C0">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102A9DD">
      <w:pPr>
        <w:pStyle w:val="56"/>
        <w:ind w:firstLine="420"/>
      </w:pPr>
      <w:r>
        <w:rPr>
          <w:rFonts w:hint="eastAsia"/>
        </w:rPr>
        <w:t>GB/T 191 包装储运图示标志</w:t>
      </w:r>
    </w:p>
    <w:p w14:paraId="1303CF7E">
      <w:pPr>
        <w:pStyle w:val="56"/>
        <w:ind w:firstLine="420"/>
      </w:pPr>
      <w:r>
        <w:rPr>
          <w:rFonts w:hint="eastAsia"/>
        </w:rPr>
        <w:t>GB/T 450 纸和纸板  试样的采取及试样纵横向、正反面的测定</w:t>
      </w:r>
    </w:p>
    <w:p w14:paraId="7EA503FE">
      <w:pPr>
        <w:pStyle w:val="56"/>
        <w:ind w:firstLine="420"/>
      </w:pPr>
      <w:r>
        <w:rPr>
          <w:rFonts w:hint="eastAsia"/>
        </w:rPr>
        <w:t>GB/T 451.1 纸和纸板尺寸及偏斜度的测定</w:t>
      </w:r>
    </w:p>
    <w:p w14:paraId="3229F811">
      <w:pPr>
        <w:pStyle w:val="56"/>
        <w:ind w:firstLine="420"/>
      </w:pPr>
      <w:r>
        <w:rPr>
          <w:rFonts w:hint="eastAsia"/>
        </w:rPr>
        <w:t>GB/T 451.2 纸和纸板定量的测定</w:t>
      </w:r>
    </w:p>
    <w:p w14:paraId="64967507">
      <w:pPr>
        <w:pStyle w:val="56"/>
        <w:ind w:firstLine="420"/>
      </w:pPr>
      <w:r>
        <w:rPr>
          <w:rFonts w:hint="eastAsia"/>
        </w:rPr>
        <w:t>GB/T 451.3 纸和纸板厚度的测定</w:t>
      </w:r>
    </w:p>
    <w:p w14:paraId="76DF9CF5">
      <w:pPr>
        <w:pStyle w:val="56"/>
        <w:ind w:firstLine="420"/>
      </w:pPr>
      <w:r>
        <w:rPr>
          <w:rFonts w:hint="eastAsia"/>
        </w:rPr>
        <w:t>GB/T 455 纸和纸板撕裂度的测定</w:t>
      </w:r>
    </w:p>
    <w:p w14:paraId="47FB199F">
      <w:pPr>
        <w:pStyle w:val="56"/>
        <w:ind w:firstLine="420"/>
      </w:pPr>
      <w:r>
        <w:rPr>
          <w:rFonts w:hint="eastAsia"/>
        </w:rPr>
        <w:t>GB/T 459 纸和纸板伸缩性的测定</w:t>
      </w:r>
    </w:p>
    <w:p w14:paraId="01427A68">
      <w:pPr>
        <w:pStyle w:val="56"/>
        <w:ind w:firstLine="420"/>
      </w:pPr>
      <w:r>
        <w:rPr>
          <w:rFonts w:hint="eastAsia"/>
        </w:rPr>
        <w:t>GB/T 461.1 纸和纸板毛细吸液高度的测定</w:t>
      </w:r>
    </w:p>
    <w:p w14:paraId="7CC3A21D">
      <w:pPr>
        <w:pStyle w:val="56"/>
        <w:ind w:firstLine="420"/>
      </w:pPr>
      <w:r>
        <w:rPr>
          <w:rFonts w:hint="eastAsia"/>
        </w:rPr>
        <w:t>GB/T 462 纸、纸板和纸浆分析试样水分的测定</w:t>
      </w:r>
    </w:p>
    <w:p w14:paraId="18DA8EBB">
      <w:pPr>
        <w:pStyle w:val="56"/>
        <w:ind w:firstLine="420"/>
      </w:pPr>
      <w:r>
        <w:rPr>
          <w:rFonts w:hint="eastAsia"/>
        </w:rPr>
        <w:t>GB/T 464  纸和纸板的干热加速老化</w:t>
      </w:r>
    </w:p>
    <w:p w14:paraId="15EE8404">
      <w:pPr>
        <w:pStyle w:val="56"/>
        <w:ind w:firstLine="420"/>
      </w:pPr>
      <w:r>
        <w:rPr>
          <w:rFonts w:hint="eastAsia"/>
        </w:rPr>
        <w:t>GB/T 465.2 纸和纸 浸水后抗张强度的测定</w:t>
      </w:r>
    </w:p>
    <w:p w14:paraId="00AE464B">
      <w:pPr>
        <w:pStyle w:val="56"/>
        <w:ind w:firstLine="420"/>
      </w:pPr>
      <w:r>
        <w:rPr>
          <w:rFonts w:hint="eastAsia"/>
        </w:rPr>
        <w:t>GB/T 1541 纸和纸板 尘埃度的测定</w:t>
      </w:r>
    </w:p>
    <w:p w14:paraId="529C6BBD">
      <w:pPr>
        <w:pStyle w:val="56"/>
        <w:ind w:firstLine="420"/>
      </w:pPr>
      <w:r>
        <w:rPr>
          <w:rFonts w:hint="eastAsia"/>
        </w:rPr>
        <w:t>GB/T 1545 纸、纸板和纸浆 水抽提液酸度或碱度的测定</w:t>
      </w:r>
    </w:p>
    <w:p w14:paraId="2D3BF172">
      <w:pPr>
        <w:pStyle w:val="56"/>
        <w:ind w:firstLine="420"/>
      </w:pPr>
      <w:r>
        <w:rPr>
          <w:rFonts w:hint="eastAsia"/>
        </w:rPr>
        <w:t>GB/T 7974 纸、纸板和纸浆亮度(白度)的测定</w:t>
      </w:r>
    </w:p>
    <w:p w14:paraId="22CCF402">
      <w:pPr>
        <w:pStyle w:val="56"/>
        <w:ind w:firstLine="420"/>
      </w:pPr>
      <w:r>
        <w:rPr>
          <w:rFonts w:hint="eastAsia"/>
        </w:rPr>
        <w:t>GB/T 7975  纸和纸板颜色的测定(漫反射法)</w:t>
      </w:r>
    </w:p>
    <w:p w14:paraId="32CC9AE5">
      <w:pPr>
        <w:pStyle w:val="56"/>
        <w:ind w:firstLine="420"/>
      </w:pPr>
      <w:r>
        <w:rPr>
          <w:rFonts w:hint="eastAsia"/>
        </w:rPr>
        <w:t>GB/T 10342 纸张的包装和标志</w:t>
      </w:r>
    </w:p>
    <w:p w14:paraId="29E5A97F">
      <w:pPr>
        <w:pStyle w:val="56"/>
        <w:ind w:firstLine="420"/>
      </w:pPr>
      <w:r>
        <w:rPr>
          <w:rFonts w:hint="eastAsia"/>
        </w:rPr>
        <w:t>GB/T 10739 纸、纸板和纸浆试样处理和试验的标准大气条件</w:t>
      </w:r>
    </w:p>
    <w:p w14:paraId="10DFBF92">
      <w:pPr>
        <w:pStyle w:val="56"/>
        <w:ind w:firstLine="420"/>
      </w:pPr>
      <w:r>
        <w:rPr>
          <w:rFonts w:hint="eastAsia"/>
        </w:rPr>
        <w:t>GB/T 12914 纸和纸板 抗张强度的测定</w:t>
      </w:r>
    </w:p>
    <w:p w14:paraId="5C08F418">
      <w:pPr>
        <w:pStyle w:val="104"/>
        <w:spacing w:before="312" w:after="312"/>
        <w:rPr>
          <w:rFonts w:hAnsi="黑体"/>
        </w:rPr>
      </w:pPr>
      <w:bookmarkStart w:id="47" w:name="_Toc97191425"/>
      <w:bookmarkStart w:id="48" w:name="_Toc138084083"/>
      <w:r>
        <w:rPr>
          <w:rFonts w:hint="eastAsia"/>
          <w:szCs w:val="21"/>
        </w:rPr>
        <w:t>术语和定义</w:t>
      </w:r>
      <w:bookmarkEnd w:id="47"/>
      <w:bookmarkEnd w:id="48"/>
      <w:bookmarkStart w:id="49" w:name="_Toc26986532"/>
      <w:bookmarkEnd w:id="49"/>
    </w:p>
    <w:p w14:paraId="44DCD4D4">
      <w:pPr>
        <w:pStyle w:val="223"/>
        <w:numPr>
          <w:ilvl w:val="2"/>
          <w:numId w:val="0"/>
        </w:numPr>
        <w:rPr>
          <w:rFonts w:hint="eastAsia" w:ascii="黑体" w:hAnsi="黑体" w:eastAsia="黑体"/>
        </w:rPr>
      </w:pPr>
      <w:r>
        <w:rPr>
          <w:rFonts w:hint="eastAsia" w:ascii="黑体" w:hAnsi="黑体" w:eastAsia="黑体"/>
        </w:rPr>
        <w:t xml:space="preserve">3.1 </w:t>
      </w:r>
    </w:p>
    <w:p w14:paraId="4D38DC51">
      <w:pPr>
        <w:pStyle w:val="223"/>
        <w:numPr>
          <w:ilvl w:val="2"/>
          <w:numId w:val="0"/>
        </w:numPr>
        <w:ind w:firstLine="420" w:firstLineChars="200"/>
        <w:rPr>
          <w:rFonts w:ascii="黑体" w:hAnsi="黑体" w:eastAsia="黑体"/>
        </w:rPr>
      </w:pPr>
      <w:r>
        <w:rPr>
          <w:rFonts w:hint="eastAsia" w:ascii="黑体" w:hAnsi="黑体" w:eastAsia="黑体"/>
        </w:rPr>
        <w:t>铅山连四纸 Yanshan Lianshi paper</w:t>
      </w:r>
    </w:p>
    <w:p w14:paraId="1ADFB39F">
      <w:pPr>
        <w:pStyle w:val="56"/>
        <w:ind w:firstLine="420"/>
        <w:rPr>
          <w:rFonts w:hint="eastAsia"/>
        </w:rPr>
      </w:pPr>
    </w:p>
    <w:p w14:paraId="14374569">
      <w:pPr>
        <w:pStyle w:val="56"/>
        <w:rPr>
          <w:rStyle w:val="30"/>
        </w:rPr>
      </w:pPr>
      <w:r>
        <w:rPr>
          <w:rFonts w:hint="eastAsia"/>
        </w:rPr>
        <w:t>是指在第四章规定的地理标志保护范围内，以当地及周边当年生嫩毛竹为主要原料，采用独有的古法七十二道工序，经过嫩竹沤制、天然漂白、春白水碓、连四抄纸和火墙焙干等传统手工生产方法制作的，具有洁白莹辉、细嫩绵密、平滑紧致、久不变色等特点，主要供拓印、古籍印刷和修复、碑帖、书写及绘画等用途的文化艺术用纸。</w:t>
      </w:r>
    </w:p>
    <w:p w14:paraId="39A85F7F">
      <w:pPr>
        <w:pStyle w:val="104"/>
        <w:spacing w:before="312" w:after="312"/>
      </w:pPr>
      <w:bookmarkStart w:id="50" w:name="_Toc138084084"/>
      <w:r>
        <w:rPr>
          <w:rFonts w:hint="eastAsia"/>
        </w:rPr>
        <w:t>地理标志保护范围</w:t>
      </w:r>
    </w:p>
    <w:p w14:paraId="28E4F087">
      <w:pPr>
        <w:pStyle w:val="56"/>
        <w:ind w:firstLine="420"/>
      </w:pPr>
      <w:r>
        <w:rPr>
          <w:rFonts w:hint="eastAsia" w:hAnsi="宋体" w:cs="宋体"/>
        </w:rPr>
        <w:t>铅山连四纸地理标志保护范围限于原国家质量监督检验检疫总局根据《地理标志产品保护规定》批准的范围，即江西省铅山县现辖行政区域，见附录A。</w:t>
      </w:r>
      <w:r>
        <w:rPr>
          <w:rFonts w:hint="eastAsia"/>
        </w:rPr>
        <w:t xml:space="preserve"> </w:t>
      </w:r>
    </w:p>
    <w:p w14:paraId="1712A8B0">
      <w:pPr>
        <w:pStyle w:val="104"/>
        <w:spacing w:before="312" w:after="312"/>
      </w:pPr>
      <w:r>
        <w:rPr>
          <w:rFonts w:hint="eastAsia"/>
        </w:rPr>
        <w:t>产品类别</w:t>
      </w:r>
      <w:bookmarkEnd w:id="50"/>
    </w:p>
    <w:p w14:paraId="05EA2EDC">
      <w:pPr>
        <w:pStyle w:val="56"/>
        <w:ind w:firstLine="420"/>
      </w:pPr>
      <w:r>
        <w:rPr>
          <w:rFonts w:hint="eastAsia"/>
        </w:rPr>
        <w:t>为平板纸，以100张为1刀。规格为600mm×1100mm（亦可按合同生产其他规格的连四纸）。</w:t>
      </w:r>
    </w:p>
    <w:p w14:paraId="4EC2BD03">
      <w:pPr>
        <w:pStyle w:val="104"/>
        <w:spacing w:before="312" w:after="312"/>
      </w:pPr>
      <w:bookmarkStart w:id="51" w:name="_Toc138084085"/>
      <w:r>
        <w:rPr>
          <w:rFonts w:hint="eastAsia"/>
        </w:rPr>
        <w:t>要求</w:t>
      </w:r>
      <w:bookmarkEnd w:id="51"/>
    </w:p>
    <w:p w14:paraId="7849F16D">
      <w:pPr>
        <w:pStyle w:val="105"/>
        <w:spacing w:before="156" w:after="156"/>
      </w:pPr>
      <w:r>
        <w:rPr>
          <w:rFonts w:hint="eastAsia"/>
        </w:rPr>
        <w:t>原料要求</w:t>
      </w:r>
    </w:p>
    <w:p w14:paraId="10BFD8FB">
      <w:pPr>
        <w:pStyle w:val="165"/>
      </w:pPr>
      <w:r>
        <w:rPr>
          <w:rFonts w:hint="eastAsia"/>
        </w:rPr>
        <w:t>选用铅山县范围内海拔400～600米生长的当年嫩毛竹，断条长度3.5～4.0米。</w:t>
      </w:r>
    </w:p>
    <w:p w14:paraId="6E8EABAF">
      <w:pPr>
        <w:pStyle w:val="165"/>
      </w:pPr>
      <w:r>
        <w:rPr>
          <w:rFonts w:hint="eastAsia"/>
        </w:rPr>
        <w:t>选用铅山县范围内的山泉水，PH值7.0～7.5。</w:t>
      </w:r>
    </w:p>
    <w:p w14:paraId="36B4E567">
      <w:pPr>
        <w:pStyle w:val="105"/>
        <w:spacing w:before="156" w:after="156"/>
      </w:pPr>
      <w:r>
        <w:rPr>
          <w:rFonts w:hint="eastAsia"/>
        </w:rPr>
        <w:t>工艺要求</w:t>
      </w:r>
    </w:p>
    <w:p w14:paraId="6D9F99FC">
      <w:pPr>
        <w:pStyle w:val="165"/>
      </w:pPr>
      <w:r>
        <w:rPr>
          <w:rFonts w:hint="eastAsia"/>
        </w:rPr>
        <w:t>发酵制丝时，应在堆叠整齐的毛竹堆塘均匀淋水，约60天后待毛竹断面有乳白色浆液渗出后，断水三天发酵，再行淋水。</w:t>
      </w:r>
    </w:p>
    <w:p w14:paraId="0A4B6C95">
      <w:pPr>
        <w:pStyle w:val="165"/>
      </w:pPr>
      <w:r>
        <w:rPr>
          <w:rFonts w:hint="eastAsia"/>
        </w:rPr>
        <w:t>二次</w:t>
      </w:r>
      <w:r>
        <w:t>淋水90～100天后进行制丝，尽量减少青皮厚度，对剥出的竹丝进行捶打，并予以清洗，减少毛竹内黄。</w:t>
      </w:r>
    </w:p>
    <w:p w14:paraId="7086B344">
      <w:pPr>
        <w:pStyle w:val="165"/>
      </w:pPr>
      <w:r>
        <w:t>腌制时按1</w:t>
      </w:r>
      <w:r>
        <w:rPr>
          <w:rFonts w:hint="eastAsia"/>
        </w:rPr>
        <w:t>份</w:t>
      </w:r>
      <w:r>
        <w:t>生石灰10份水使石灰乳化，再按1份生石灰2份竹丝的比例充分浸渍竹丝，叠堆密实整齐，使</w:t>
      </w:r>
      <w:r>
        <w:rPr>
          <w:rFonts w:hint="eastAsia"/>
        </w:rPr>
        <w:t>竹丝</w:t>
      </w:r>
      <w:r>
        <w:t>自然生热发酵。冬季发酵堆上应加覆盖物。</w:t>
      </w:r>
    </w:p>
    <w:p w14:paraId="78597AB6">
      <w:pPr>
        <w:pStyle w:val="165"/>
      </w:pPr>
      <w:r>
        <w:t>蒸煮竹丝</w:t>
      </w:r>
      <w:r>
        <w:rPr>
          <w:rFonts w:hint="eastAsia"/>
        </w:rPr>
        <w:t>时</w:t>
      </w:r>
      <w:r>
        <w:t>，装锅</w:t>
      </w:r>
      <w:r>
        <w:rPr>
          <w:rFonts w:hint="eastAsia"/>
        </w:rPr>
        <w:t>应</w:t>
      </w:r>
      <w:r>
        <w:t>密实而又较为透气，不产生偏漏气现象</w:t>
      </w:r>
      <w:r>
        <w:rPr>
          <w:rFonts w:hint="eastAsia"/>
        </w:rPr>
        <w:t>。</w:t>
      </w:r>
      <w:r>
        <w:t>锅顶冒气5～6小时后方可停火，歇火后12小时出锅。</w:t>
      </w:r>
    </w:p>
    <w:p w14:paraId="74A1996A">
      <w:pPr>
        <w:pStyle w:val="165"/>
      </w:pPr>
      <w:r>
        <w:t>将竹丝团成黄饼，规格￠30厘米，厚度1～1.5厘米，饼形</w:t>
      </w:r>
      <w:r>
        <w:rPr>
          <w:rFonts w:hint="eastAsia"/>
          <w:lang w:eastAsia="zh-CN"/>
        </w:rPr>
        <w:t>圆整</w:t>
      </w:r>
      <w:r>
        <w:t>黄饼上漂白山场晾晒，上山后每月翻饼一次，</w:t>
      </w:r>
      <w:r>
        <w:rPr>
          <w:rFonts w:hint="eastAsia"/>
        </w:rPr>
        <w:t>经</w:t>
      </w:r>
      <w:r>
        <w:t>4个月后天然漂白，</w:t>
      </w:r>
      <w:r>
        <w:rPr>
          <w:rFonts w:hint="eastAsia"/>
        </w:rPr>
        <w:t>收集时应</w:t>
      </w:r>
      <w:r>
        <w:t>捡尽残留在竹丝饼上的杂质</w:t>
      </w:r>
      <w:r>
        <w:rPr>
          <w:rFonts w:hint="eastAsia"/>
        </w:rPr>
        <w:t>。</w:t>
      </w:r>
    </w:p>
    <w:p w14:paraId="4B59163C">
      <w:pPr>
        <w:pStyle w:val="165"/>
      </w:pPr>
      <w:r>
        <w:rPr>
          <w:rFonts w:hint="eastAsia"/>
        </w:rPr>
        <w:t>打浆前应用水充分浸润白饼。打浆时第二次捡尽杂质，打浆度保持在18±1度的叩解度。</w:t>
      </w:r>
    </w:p>
    <w:p w14:paraId="6DBF6D23">
      <w:pPr>
        <w:pStyle w:val="165"/>
      </w:pPr>
      <w:r>
        <w:rPr>
          <w:rFonts w:hint="eastAsia"/>
        </w:rPr>
        <w:t>纸药用量应按1</w:t>
      </w:r>
      <w:r>
        <w:rPr>
          <w:rFonts w:hint="eastAsia"/>
          <w:lang w:eastAsia="zh-CN"/>
        </w:rPr>
        <w:t>1.2%～1.5%</w:t>
      </w:r>
      <w:r>
        <w:rPr>
          <w:rFonts w:hint="eastAsia"/>
        </w:rPr>
        <w:t>用。根据纸张克重要求正确掌握克重，每平方米克重误差不得超过±2克。</w:t>
      </w:r>
    </w:p>
    <w:p w14:paraId="27D5D875">
      <w:pPr>
        <w:pStyle w:val="165"/>
      </w:pPr>
      <w:r>
        <w:rPr>
          <w:rFonts w:hint="eastAsia"/>
        </w:rPr>
        <w:t>榨砣时须逐步加压，时间控制在1～1.2h之间，榨好后的湿砣水</w:t>
      </w:r>
      <w:r>
        <w:rPr>
          <w:rFonts w:hint="eastAsia"/>
          <w:lang w:eastAsia="zh-CN"/>
        </w:rPr>
        <w:t>水分控制在</w:t>
      </w:r>
      <w:r>
        <w:rPr>
          <w:rFonts w:hint="eastAsia"/>
        </w:rPr>
        <w:t>0～62%之间。</w:t>
      </w:r>
    </w:p>
    <w:p w14:paraId="726E3A4F">
      <w:pPr>
        <w:pStyle w:val="165"/>
      </w:pPr>
      <w:r>
        <w:rPr>
          <w:rFonts w:hint="eastAsia"/>
        </w:rPr>
        <w:t>焙纸时应严格控制焙面温度，以不超过60℃为</w:t>
      </w:r>
      <w:r>
        <w:rPr>
          <w:rFonts w:hint="eastAsia"/>
          <w:lang w:eastAsia="zh-CN"/>
        </w:rPr>
        <w:t>为</w:t>
      </w:r>
      <w:r>
        <w:rPr>
          <w:rFonts w:hint="eastAsia"/>
        </w:rPr>
        <w:t>归置烘焙过程中的废纸，防止杂尘二次污染浆料。</w:t>
      </w:r>
    </w:p>
    <w:p w14:paraId="72FC0DAD">
      <w:pPr>
        <w:pStyle w:val="165"/>
      </w:pPr>
      <w:r>
        <w:rPr>
          <w:rFonts w:hint="eastAsia"/>
        </w:rPr>
        <w:t>制作工艺流程按附录B执行。</w:t>
      </w:r>
    </w:p>
    <w:p w14:paraId="527BC621">
      <w:pPr>
        <w:pStyle w:val="105"/>
        <w:spacing w:before="156" w:after="156"/>
      </w:pPr>
      <w:r>
        <w:rPr>
          <w:rFonts w:hint="eastAsia"/>
        </w:rPr>
        <w:t>偏差值</w:t>
      </w:r>
    </w:p>
    <w:p w14:paraId="608EABE1">
      <w:pPr>
        <w:pStyle w:val="56"/>
        <w:ind w:firstLine="420"/>
      </w:pPr>
      <w:r>
        <w:rPr>
          <w:rFonts w:hint="eastAsia"/>
        </w:rPr>
        <w:t>尺寸允许偏差为±3mm, 偏斜度不超过5mm。</w:t>
      </w:r>
    </w:p>
    <w:p w14:paraId="459EAC09">
      <w:pPr>
        <w:pStyle w:val="105"/>
        <w:spacing w:before="156" w:after="156"/>
      </w:pPr>
      <w:r>
        <w:rPr>
          <w:rFonts w:hint="eastAsia"/>
        </w:rPr>
        <w:t>感官要求</w:t>
      </w:r>
    </w:p>
    <w:p w14:paraId="7B35E948">
      <w:pPr>
        <w:pStyle w:val="56"/>
        <w:ind w:firstLine="420"/>
        <w:rPr>
          <w:color w:val="FF0000"/>
        </w:rPr>
      </w:pPr>
      <w:r>
        <w:rPr>
          <w:rFonts w:hint="eastAsia"/>
        </w:rPr>
        <w:t>纸张洁白莹辉、细嫩绵密、平滑紧致、久不变色，有隐约竹帘纹，切边应整齐洁净，纸面无折痕、裂口、洞眼、沙粒、附着物等影响使用的外观纸病。同批产品色调应一致。</w:t>
      </w:r>
    </w:p>
    <w:p w14:paraId="49DB14FE">
      <w:pPr>
        <w:pStyle w:val="105"/>
        <w:spacing w:before="156" w:after="156"/>
      </w:pPr>
      <w:r>
        <w:rPr>
          <w:rFonts w:hint="eastAsia"/>
        </w:rPr>
        <w:t>理化指标</w:t>
      </w:r>
    </w:p>
    <w:p w14:paraId="40F0B128">
      <w:pPr>
        <w:pStyle w:val="56"/>
        <w:ind w:firstLine="840" w:firstLineChars="400"/>
      </w:pPr>
      <w:r>
        <w:rPr>
          <w:rFonts w:hint="eastAsia"/>
        </w:rPr>
        <w:t>理化指标应符合表1规定。</w:t>
      </w:r>
    </w:p>
    <w:p w14:paraId="3E6B903D">
      <w:pPr>
        <w:pStyle w:val="112"/>
        <w:spacing w:before="156" w:after="156"/>
      </w:pPr>
      <w:r>
        <w:rPr>
          <w:rFonts w:hint="eastAsia"/>
        </w:rPr>
        <w:t>理化指标</w:t>
      </w:r>
    </w:p>
    <w:tbl>
      <w:tblPr>
        <w:tblStyle w:val="27"/>
        <w:tblW w:w="835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761"/>
        <w:gridCol w:w="1559"/>
        <w:gridCol w:w="709"/>
        <w:gridCol w:w="1559"/>
        <w:gridCol w:w="2771"/>
      </w:tblGrid>
      <w:tr w14:paraId="31EC62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7" w:hRule="atLeast"/>
          <w:tblHeader/>
          <w:jc w:val="center"/>
        </w:trPr>
        <w:tc>
          <w:tcPr>
            <w:tcW w:w="4029" w:type="dxa"/>
            <w:gridSpan w:val="3"/>
            <w:tcBorders>
              <w:top w:val="single" w:color="auto" w:sz="8" w:space="0"/>
              <w:bottom w:val="single" w:color="auto" w:sz="8" w:space="0"/>
            </w:tcBorders>
            <w:shd w:val="clear" w:color="auto" w:fill="auto"/>
            <w:vAlign w:val="center"/>
          </w:tcPr>
          <w:p w14:paraId="6D9266E2">
            <w:pPr>
              <w:pStyle w:val="178"/>
              <w:adjustRightInd w:val="0"/>
              <w:ind w:firstLine="1470" w:firstLineChars="700"/>
              <w:jc w:val="both"/>
              <w:rPr>
                <w:rFonts w:ascii="黑体" w:hAnsi="黑体" w:eastAsia="黑体" w:cs="黑体"/>
                <w:sz w:val="21"/>
                <w:szCs w:val="21"/>
              </w:rPr>
            </w:pPr>
            <w:r>
              <w:rPr>
                <w:rFonts w:hint="eastAsia" w:ascii="黑体" w:hAnsi="黑体" w:eastAsia="黑体" w:cs="黑体"/>
                <w:sz w:val="21"/>
                <w:szCs w:val="21"/>
              </w:rPr>
              <w:t>指标名称</w:t>
            </w:r>
          </w:p>
        </w:tc>
        <w:tc>
          <w:tcPr>
            <w:tcW w:w="1559" w:type="dxa"/>
            <w:tcBorders>
              <w:top w:val="single" w:color="auto" w:sz="8" w:space="0"/>
              <w:bottom w:val="single" w:color="auto" w:sz="8" w:space="0"/>
            </w:tcBorders>
            <w:shd w:val="clear" w:color="auto" w:fill="auto"/>
            <w:vAlign w:val="center"/>
          </w:tcPr>
          <w:p w14:paraId="293EF7FA">
            <w:pPr>
              <w:pStyle w:val="178"/>
              <w:adjustRightInd w:val="0"/>
              <w:rPr>
                <w:rFonts w:ascii="黑体" w:hAnsi="黑体" w:eastAsia="黑体" w:cs="黑体"/>
                <w:sz w:val="21"/>
                <w:szCs w:val="21"/>
              </w:rPr>
            </w:pPr>
            <w:r>
              <w:rPr>
                <w:rFonts w:hint="eastAsia" w:ascii="黑体" w:hAnsi="黑体" w:eastAsia="黑体" w:cs="黑体"/>
                <w:sz w:val="21"/>
                <w:szCs w:val="21"/>
              </w:rPr>
              <w:t>单位</w:t>
            </w:r>
          </w:p>
        </w:tc>
        <w:tc>
          <w:tcPr>
            <w:tcW w:w="2771" w:type="dxa"/>
            <w:tcBorders>
              <w:top w:val="single" w:color="auto" w:sz="8" w:space="0"/>
              <w:bottom w:val="single" w:color="auto" w:sz="8" w:space="0"/>
            </w:tcBorders>
            <w:shd w:val="clear" w:color="auto" w:fill="auto"/>
            <w:vAlign w:val="center"/>
          </w:tcPr>
          <w:p w14:paraId="762324C9">
            <w:pPr>
              <w:pStyle w:val="178"/>
              <w:adjustRightInd w:val="0"/>
              <w:rPr>
                <w:rFonts w:ascii="黑体" w:hAnsi="黑体" w:eastAsia="黑体" w:cs="黑体"/>
                <w:sz w:val="21"/>
                <w:szCs w:val="21"/>
              </w:rPr>
            </w:pPr>
            <w:r>
              <w:rPr>
                <w:rFonts w:hint="eastAsia" w:ascii="黑体" w:hAnsi="黑体" w:eastAsia="黑体" w:cs="黑体"/>
                <w:sz w:val="21"/>
                <w:szCs w:val="21"/>
              </w:rPr>
              <w:t>指标</w:t>
            </w:r>
          </w:p>
        </w:tc>
      </w:tr>
      <w:tr w14:paraId="148AA5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blHeader/>
          <w:jc w:val="center"/>
        </w:trPr>
        <w:tc>
          <w:tcPr>
            <w:tcW w:w="4029" w:type="dxa"/>
            <w:gridSpan w:val="3"/>
            <w:tcBorders>
              <w:top w:val="single" w:color="auto" w:sz="8" w:space="0"/>
              <w:bottom w:val="single" w:color="auto" w:sz="8" w:space="0"/>
            </w:tcBorders>
            <w:shd w:val="clear" w:color="auto" w:fill="auto"/>
            <w:vAlign w:val="center"/>
          </w:tcPr>
          <w:p w14:paraId="369946BE">
            <w:pPr>
              <w:overflowPunct w:val="0"/>
              <w:spacing w:line="240" w:lineRule="auto"/>
              <w:ind w:firstLine="1680" w:firstLineChars="800"/>
              <w:rPr>
                <w:rFonts w:ascii="宋体" w:hAnsi="宋体" w:cs="宋体"/>
              </w:rPr>
            </w:pPr>
            <w:r>
              <w:rPr>
                <w:rFonts w:hint="eastAsia" w:ascii="宋体" w:hAnsi="宋体" w:cs="宋体"/>
              </w:rPr>
              <w:t>定量</w:t>
            </w:r>
          </w:p>
        </w:tc>
        <w:tc>
          <w:tcPr>
            <w:tcW w:w="1559" w:type="dxa"/>
            <w:tcBorders>
              <w:top w:val="single" w:color="auto" w:sz="8" w:space="0"/>
              <w:bottom w:val="single" w:color="auto" w:sz="8" w:space="0"/>
            </w:tcBorders>
            <w:shd w:val="clear" w:color="auto" w:fill="auto"/>
            <w:vAlign w:val="center"/>
          </w:tcPr>
          <w:p w14:paraId="2DBD124F">
            <w:pPr>
              <w:overflowPunct w:val="0"/>
              <w:spacing w:line="240" w:lineRule="auto"/>
              <w:jc w:val="center"/>
              <w:rPr>
                <w:rFonts w:ascii="宋体" w:hAnsi="宋体" w:cs="宋体"/>
              </w:rPr>
            </w:pPr>
            <w:r>
              <w:rPr>
                <w:rFonts w:hint="eastAsia" w:ascii="宋体" w:hAnsi="宋体" w:cs="宋体"/>
              </w:rPr>
              <w:t>g/m</w:t>
            </w:r>
            <w:r>
              <w:rPr>
                <w:rFonts w:hint="eastAsia" w:ascii="宋体" w:hAnsi="宋体" w:cs="宋体"/>
                <w:vertAlign w:val="superscript"/>
              </w:rPr>
              <w:t>2</w:t>
            </w:r>
          </w:p>
        </w:tc>
        <w:tc>
          <w:tcPr>
            <w:tcW w:w="2771" w:type="dxa"/>
            <w:tcBorders>
              <w:top w:val="single" w:color="auto" w:sz="8" w:space="0"/>
              <w:bottom w:val="single" w:color="auto" w:sz="8" w:space="0"/>
            </w:tcBorders>
            <w:shd w:val="clear" w:color="auto" w:fill="auto"/>
            <w:vAlign w:val="center"/>
          </w:tcPr>
          <w:p w14:paraId="5C6E1944">
            <w:pPr>
              <w:overflowPunct w:val="0"/>
              <w:spacing w:line="240" w:lineRule="auto"/>
              <w:jc w:val="center"/>
              <w:rPr>
                <w:rFonts w:ascii="宋体" w:hAnsi="宋体" w:cs="宋体"/>
              </w:rPr>
            </w:pPr>
            <w:r>
              <w:rPr>
                <w:rFonts w:hint="eastAsia" w:ascii="宋体" w:hAnsi="宋体" w:cs="宋体"/>
              </w:rPr>
              <w:t>19.0+2.0</w:t>
            </w:r>
          </w:p>
        </w:tc>
      </w:tr>
      <w:tr w14:paraId="167062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29" w:type="dxa"/>
            <w:gridSpan w:val="3"/>
            <w:shd w:val="clear" w:color="auto" w:fill="auto"/>
            <w:vAlign w:val="center"/>
          </w:tcPr>
          <w:p w14:paraId="6A9D1F9B">
            <w:pPr>
              <w:pStyle w:val="178"/>
              <w:adjustRightInd w:val="0"/>
              <w:ind w:firstLine="1680" w:firstLineChars="800"/>
              <w:jc w:val="both"/>
              <w:rPr>
                <w:sz w:val="21"/>
                <w:szCs w:val="21"/>
              </w:rPr>
            </w:pPr>
            <w:r>
              <w:rPr>
                <w:rFonts w:hint="eastAsia"/>
                <w:sz w:val="21"/>
                <w:szCs w:val="21"/>
              </w:rPr>
              <w:t>紧度</w:t>
            </w:r>
          </w:p>
        </w:tc>
        <w:tc>
          <w:tcPr>
            <w:tcW w:w="1559" w:type="dxa"/>
            <w:shd w:val="clear" w:color="auto" w:fill="auto"/>
            <w:vAlign w:val="center"/>
          </w:tcPr>
          <w:p w14:paraId="4419C570">
            <w:pPr>
              <w:pStyle w:val="178"/>
              <w:adjustRightInd w:val="0"/>
              <w:rPr>
                <w:sz w:val="21"/>
                <w:szCs w:val="21"/>
              </w:rPr>
            </w:pPr>
            <w:r>
              <w:rPr>
                <w:sz w:val="21"/>
                <w:szCs w:val="21"/>
              </w:rPr>
              <w:t>g/cm²</w:t>
            </w:r>
          </w:p>
        </w:tc>
        <w:tc>
          <w:tcPr>
            <w:tcW w:w="2771" w:type="dxa"/>
            <w:shd w:val="clear" w:color="auto" w:fill="auto"/>
            <w:vAlign w:val="center"/>
          </w:tcPr>
          <w:p w14:paraId="67EECEAD">
            <w:pPr>
              <w:pStyle w:val="178"/>
              <w:adjustRightInd w:val="0"/>
              <w:rPr>
                <w:sz w:val="21"/>
                <w:szCs w:val="21"/>
              </w:rPr>
            </w:pPr>
            <w:r>
              <w:rPr>
                <w:sz w:val="21"/>
                <w:szCs w:val="21"/>
              </w:rPr>
              <w:t>±</w:t>
            </w:r>
            <w:r>
              <w:rPr>
                <w:rFonts w:hint="eastAsia"/>
                <w:sz w:val="21"/>
                <w:szCs w:val="21"/>
              </w:rPr>
              <w:t xml:space="preserve"> </w:t>
            </w:r>
            <w:r>
              <w:rPr>
                <w:sz w:val="21"/>
                <w:szCs w:val="21"/>
              </w:rPr>
              <w:t>0.</w:t>
            </w:r>
            <w:r>
              <w:rPr>
                <w:rFonts w:hint="eastAsia"/>
                <w:sz w:val="21"/>
                <w:szCs w:val="21"/>
              </w:rPr>
              <w:t>4</w:t>
            </w:r>
          </w:p>
        </w:tc>
      </w:tr>
      <w:tr w14:paraId="54B126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29" w:type="dxa"/>
            <w:gridSpan w:val="3"/>
            <w:shd w:val="clear" w:color="auto" w:fill="auto"/>
            <w:vAlign w:val="center"/>
          </w:tcPr>
          <w:p w14:paraId="31E1D961">
            <w:pPr>
              <w:pStyle w:val="178"/>
              <w:adjustRightInd w:val="0"/>
              <w:rPr>
                <w:sz w:val="21"/>
                <w:szCs w:val="21"/>
              </w:rPr>
            </w:pPr>
            <w:r>
              <w:rPr>
                <w:rFonts w:hint="eastAsia"/>
                <w:sz w:val="21"/>
                <w:szCs w:val="21"/>
              </w:rPr>
              <w:t xml:space="preserve">              亮度              ≥</w:t>
            </w:r>
          </w:p>
        </w:tc>
        <w:tc>
          <w:tcPr>
            <w:tcW w:w="1559" w:type="dxa"/>
            <w:shd w:val="clear" w:color="auto" w:fill="auto"/>
            <w:vAlign w:val="center"/>
          </w:tcPr>
          <w:p w14:paraId="7D7B0489">
            <w:pPr>
              <w:pStyle w:val="178"/>
              <w:adjustRightInd w:val="0"/>
              <w:rPr>
                <w:sz w:val="21"/>
                <w:szCs w:val="21"/>
              </w:rPr>
            </w:pPr>
            <w:r>
              <w:rPr>
                <w:sz w:val="21"/>
                <w:szCs w:val="21"/>
              </w:rPr>
              <w:t>%</w:t>
            </w:r>
          </w:p>
        </w:tc>
        <w:tc>
          <w:tcPr>
            <w:tcW w:w="2771" w:type="dxa"/>
            <w:shd w:val="clear" w:color="auto" w:fill="auto"/>
            <w:vAlign w:val="center"/>
          </w:tcPr>
          <w:p w14:paraId="339DAE73">
            <w:pPr>
              <w:pStyle w:val="178"/>
              <w:adjustRightInd w:val="0"/>
              <w:rPr>
                <w:sz w:val="21"/>
                <w:szCs w:val="21"/>
              </w:rPr>
            </w:pPr>
            <w:r>
              <w:rPr>
                <w:rFonts w:hint="eastAsia"/>
                <w:sz w:val="21"/>
                <w:szCs w:val="21"/>
              </w:rPr>
              <w:t>67</w:t>
            </w:r>
            <w:r>
              <w:rPr>
                <w:sz w:val="21"/>
                <w:szCs w:val="21"/>
              </w:rPr>
              <w:t>.0</w:t>
            </w:r>
          </w:p>
        </w:tc>
      </w:tr>
      <w:tr w14:paraId="62EA47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29" w:type="dxa"/>
            <w:gridSpan w:val="3"/>
            <w:shd w:val="clear" w:color="auto" w:fill="auto"/>
            <w:vAlign w:val="center"/>
          </w:tcPr>
          <w:p w14:paraId="2C1FD1E3">
            <w:pPr>
              <w:pStyle w:val="178"/>
              <w:adjustRightInd w:val="0"/>
              <w:rPr>
                <w:sz w:val="21"/>
                <w:szCs w:val="21"/>
              </w:rPr>
            </w:pPr>
            <w:r>
              <w:rPr>
                <w:rFonts w:hint="eastAsia"/>
                <w:sz w:val="21"/>
                <w:szCs w:val="21"/>
              </w:rPr>
              <w:t xml:space="preserve">    裂断长(纵横平均)            ≥</w:t>
            </w:r>
          </w:p>
        </w:tc>
        <w:tc>
          <w:tcPr>
            <w:tcW w:w="1559" w:type="dxa"/>
            <w:shd w:val="clear" w:color="auto" w:fill="auto"/>
            <w:vAlign w:val="center"/>
          </w:tcPr>
          <w:p w14:paraId="0BE9889E">
            <w:pPr>
              <w:pStyle w:val="178"/>
              <w:adjustRightInd w:val="0"/>
              <w:rPr>
                <w:sz w:val="21"/>
                <w:szCs w:val="21"/>
              </w:rPr>
            </w:pPr>
            <w:r>
              <w:rPr>
                <w:sz w:val="21"/>
                <w:szCs w:val="21"/>
              </w:rPr>
              <w:t>km</w:t>
            </w:r>
          </w:p>
        </w:tc>
        <w:tc>
          <w:tcPr>
            <w:tcW w:w="2771" w:type="dxa"/>
            <w:shd w:val="clear" w:color="auto" w:fill="auto"/>
            <w:vAlign w:val="center"/>
          </w:tcPr>
          <w:p w14:paraId="5E107CFF">
            <w:pPr>
              <w:pStyle w:val="178"/>
              <w:adjustRightInd w:val="0"/>
              <w:rPr>
                <w:sz w:val="21"/>
                <w:szCs w:val="21"/>
              </w:rPr>
            </w:pPr>
            <w:r>
              <w:rPr>
                <w:rFonts w:hint="eastAsia" w:hAnsi="宋体" w:cs="宋体"/>
                <w:spacing w:val="-6"/>
                <w:sz w:val="21"/>
                <w:szCs w:val="21"/>
              </w:rPr>
              <w:t>3</w:t>
            </w:r>
            <w:r>
              <w:rPr>
                <w:rFonts w:hAnsi="宋体" w:cs="宋体"/>
                <w:spacing w:val="-6"/>
                <w:sz w:val="21"/>
                <w:szCs w:val="21"/>
              </w:rPr>
              <w:t>.0</w:t>
            </w:r>
          </w:p>
        </w:tc>
      </w:tr>
      <w:tr w14:paraId="308AAA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29" w:type="dxa"/>
            <w:gridSpan w:val="3"/>
            <w:shd w:val="clear" w:color="auto" w:fill="auto"/>
            <w:vAlign w:val="center"/>
          </w:tcPr>
          <w:p w14:paraId="487E1E14">
            <w:pPr>
              <w:pStyle w:val="178"/>
              <w:adjustRightInd w:val="0"/>
              <w:rPr>
                <w:sz w:val="21"/>
                <w:szCs w:val="21"/>
              </w:rPr>
            </w:pPr>
            <w:r>
              <w:rPr>
                <w:rFonts w:hint="eastAsia"/>
                <w:sz w:val="21"/>
                <w:szCs w:val="21"/>
              </w:rPr>
              <w:t xml:space="preserve">    撕裂指数(纵横平均)          ≥  </w:t>
            </w:r>
          </w:p>
        </w:tc>
        <w:tc>
          <w:tcPr>
            <w:tcW w:w="1559" w:type="dxa"/>
            <w:shd w:val="clear" w:color="auto" w:fill="auto"/>
            <w:vAlign w:val="center"/>
          </w:tcPr>
          <w:p w14:paraId="27AAB7D4">
            <w:pPr>
              <w:pStyle w:val="178"/>
              <w:adjustRightInd w:val="0"/>
              <w:rPr>
                <w:sz w:val="21"/>
                <w:szCs w:val="21"/>
              </w:rPr>
            </w:pPr>
            <w:r>
              <w:rPr>
                <w:sz w:val="21"/>
                <w:szCs w:val="21"/>
              </w:rPr>
              <w:t>mN.m²/g</w:t>
            </w:r>
          </w:p>
        </w:tc>
        <w:tc>
          <w:tcPr>
            <w:tcW w:w="2771" w:type="dxa"/>
            <w:shd w:val="clear" w:color="auto" w:fill="auto"/>
            <w:vAlign w:val="center"/>
          </w:tcPr>
          <w:p w14:paraId="44403501">
            <w:pPr>
              <w:pStyle w:val="178"/>
              <w:adjustRightInd w:val="0"/>
              <w:rPr>
                <w:sz w:val="21"/>
                <w:szCs w:val="21"/>
              </w:rPr>
            </w:pPr>
            <w:r>
              <w:rPr>
                <w:rFonts w:hint="eastAsia" w:hAnsi="宋体" w:cs="宋体"/>
                <w:spacing w:val="-2"/>
                <w:sz w:val="21"/>
                <w:szCs w:val="21"/>
              </w:rPr>
              <w:t>6.0</w:t>
            </w:r>
          </w:p>
        </w:tc>
      </w:tr>
      <w:tr w14:paraId="7A2F11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29" w:type="dxa"/>
            <w:gridSpan w:val="3"/>
            <w:shd w:val="clear" w:color="auto" w:fill="auto"/>
            <w:vAlign w:val="center"/>
          </w:tcPr>
          <w:p w14:paraId="2455EAE3">
            <w:pPr>
              <w:pStyle w:val="178"/>
              <w:adjustRightInd w:val="0"/>
              <w:rPr>
                <w:sz w:val="21"/>
                <w:szCs w:val="21"/>
              </w:rPr>
            </w:pPr>
            <w:r>
              <w:rPr>
                <w:rFonts w:hint="eastAsia"/>
                <w:sz w:val="21"/>
                <w:szCs w:val="21"/>
              </w:rPr>
              <w:t xml:space="preserve">    湿抗张强度(纵横平均)        ≥</w:t>
            </w:r>
          </w:p>
        </w:tc>
        <w:tc>
          <w:tcPr>
            <w:tcW w:w="1559" w:type="dxa"/>
            <w:shd w:val="clear" w:color="auto" w:fill="auto"/>
            <w:vAlign w:val="center"/>
          </w:tcPr>
          <w:p w14:paraId="323CB6AB">
            <w:pPr>
              <w:pStyle w:val="178"/>
              <w:adjustRightInd w:val="0"/>
              <w:rPr>
                <w:sz w:val="21"/>
                <w:szCs w:val="21"/>
              </w:rPr>
            </w:pPr>
            <w:r>
              <w:rPr>
                <w:sz w:val="21"/>
                <w:szCs w:val="21"/>
              </w:rPr>
              <w:t>mN</w:t>
            </w:r>
          </w:p>
        </w:tc>
        <w:tc>
          <w:tcPr>
            <w:tcW w:w="2771" w:type="dxa"/>
            <w:shd w:val="clear" w:color="auto" w:fill="auto"/>
            <w:vAlign w:val="center"/>
          </w:tcPr>
          <w:p w14:paraId="333A5CAD">
            <w:pPr>
              <w:pStyle w:val="178"/>
              <w:adjustRightInd w:val="0"/>
              <w:rPr>
                <w:sz w:val="21"/>
                <w:szCs w:val="21"/>
              </w:rPr>
            </w:pPr>
            <w:r>
              <w:rPr>
                <w:rFonts w:hint="eastAsia"/>
                <w:sz w:val="21"/>
                <w:szCs w:val="21"/>
              </w:rPr>
              <w:t>480</w:t>
            </w:r>
          </w:p>
        </w:tc>
      </w:tr>
      <w:tr w14:paraId="1211A3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29" w:type="dxa"/>
            <w:gridSpan w:val="3"/>
            <w:shd w:val="clear" w:color="auto" w:fill="auto"/>
            <w:vAlign w:val="center"/>
          </w:tcPr>
          <w:p w14:paraId="1E947758">
            <w:pPr>
              <w:pStyle w:val="178"/>
              <w:adjustRightInd w:val="0"/>
              <w:rPr>
                <w:sz w:val="21"/>
                <w:szCs w:val="21"/>
              </w:rPr>
            </w:pPr>
            <w:r>
              <w:rPr>
                <w:rFonts w:hint="eastAsia"/>
                <w:sz w:val="21"/>
                <w:szCs w:val="21"/>
              </w:rPr>
              <w:t xml:space="preserve">    耐老化亮度(白度)值下降     ≤</w:t>
            </w:r>
          </w:p>
        </w:tc>
        <w:tc>
          <w:tcPr>
            <w:tcW w:w="1559" w:type="dxa"/>
            <w:shd w:val="clear" w:color="auto" w:fill="auto"/>
            <w:vAlign w:val="center"/>
          </w:tcPr>
          <w:p w14:paraId="7491D8D1">
            <w:pPr>
              <w:pStyle w:val="178"/>
              <w:adjustRightInd w:val="0"/>
              <w:rPr>
                <w:sz w:val="21"/>
                <w:szCs w:val="21"/>
              </w:rPr>
            </w:pPr>
            <w:r>
              <w:rPr>
                <w:sz w:val="21"/>
                <w:szCs w:val="21"/>
              </w:rPr>
              <w:t>%</w:t>
            </w:r>
          </w:p>
        </w:tc>
        <w:tc>
          <w:tcPr>
            <w:tcW w:w="2771" w:type="dxa"/>
            <w:shd w:val="clear" w:color="auto" w:fill="auto"/>
            <w:vAlign w:val="center"/>
          </w:tcPr>
          <w:p w14:paraId="05A5A6AB">
            <w:pPr>
              <w:pStyle w:val="178"/>
              <w:adjustRightInd w:val="0"/>
              <w:rPr>
                <w:sz w:val="21"/>
                <w:szCs w:val="21"/>
              </w:rPr>
            </w:pPr>
            <w:r>
              <w:rPr>
                <w:rFonts w:hint="eastAsia" w:hAnsi="宋体" w:cs="宋体"/>
                <w:spacing w:val="-4"/>
                <w:sz w:val="21"/>
                <w:szCs w:val="21"/>
              </w:rPr>
              <w:t>5</w:t>
            </w:r>
            <w:r>
              <w:rPr>
                <w:rFonts w:hAnsi="宋体" w:cs="宋体"/>
                <w:spacing w:val="-4"/>
                <w:sz w:val="21"/>
                <w:szCs w:val="21"/>
              </w:rPr>
              <w:t>.0</w:t>
            </w:r>
          </w:p>
        </w:tc>
      </w:tr>
      <w:tr w14:paraId="4F3AAF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61" w:type="dxa"/>
            <w:vMerge w:val="restart"/>
            <w:shd w:val="clear" w:color="auto" w:fill="auto"/>
            <w:vAlign w:val="center"/>
          </w:tcPr>
          <w:p w14:paraId="66516623">
            <w:pPr>
              <w:pStyle w:val="178"/>
              <w:adjustRightInd w:val="0"/>
              <w:rPr>
                <w:sz w:val="21"/>
                <w:szCs w:val="21"/>
              </w:rPr>
            </w:pPr>
            <w:r>
              <w:rPr>
                <w:rFonts w:hint="eastAsia"/>
                <w:sz w:val="21"/>
                <w:szCs w:val="21"/>
              </w:rPr>
              <w:t>吸水性</w:t>
            </w:r>
            <w:r>
              <w:rPr>
                <w:sz w:val="21"/>
                <w:szCs w:val="21"/>
              </w:rPr>
              <w:t>(60s)</w:t>
            </w:r>
          </w:p>
        </w:tc>
        <w:tc>
          <w:tcPr>
            <w:tcW w:w="2268" w:type="dxa"/>
            <w:gridSpan w:val="2"/>
            <w:shd w:val="clear" w:color="auto" w:fill="auto"/>
            <w:vAlign w:val="center"/>
          </w:tcPr>
          <w:p w14:paraId="7E1B17E8">
            <w:pPr>
              <w:pStyle w:val="178"/>
              <w:adjustRightInd w:val="0"/>
              <w:ind w:firstLine="420" w:firstLineChars="200"/>
              <w:rPr>
                <w:sz w:val="21"/>
                <w:szCs w:val="21"/>
              </w:rPr>
            </w:pPr>
            <w:r>
              <w:rPr>
                <w:rFonts w:hint="eastAsia"/>
                <w:sz w:val="21"/>
                <w:szCs w:val="21"/>
              </w:rPr>
              <w:t>纵横平均</w:t>
            </w:r>
          </w:p>
        </w:tc>
        <w:tc>
          <w:tcPr>
            <w:tcW w:w="1559" w:type="dxa"/>
            <w:vMerge w:val="restart"/>
            <w:shd w:val="clear" w:color="auto" w:fill="auto"/>
            <w:vAlign w:val="center"/>
          </w:tcPr>
          <w:p w14:paraId="7F9250CE">
            <w:pPr>
              <w:pStyle w:val="178"/>
              <w:adjustRightInd w:val="0"/>
              <w:rPr>
                <w:sz w:val="21"/>
                <w:szCs w:val="21"/>
              </w:rPr>
            </w:pPr>
            <w:r>
              <w:rPr>
                <w:sz w:val="21"/>
                <w:szCs w:val="21"/>
              </w:rPr>
              <w:t>m</w:t>
            </w:r>
          </w:p>
        </w:tc>
        <w:tc>
          <w:tcPr>
            <w:tcW w:w="2771" w:type="dxa"/>
            <w:shd w:val="clear" w:color="auto" w:fill="auto"/>
            <w:vAlign w:val="center"/>
          </w:tcPr>
          <w:p w14:paraId="6CD5AB42">
            <w:pPr>
              <w:pStyle w:val="178"/>
              <w:adjustRightInd w:val="0"/>
              <w:rPr>
                <w:sz w:val="21"/>
                <w:szCs w:val="21"/>
              </w:rPr>
            </w:pPr>
            <w:r>
              <w:rPr>
                <w:rFonts w:hint="eastAsia"/>
                <w:sz w:val="21"/>
                <w:szCs w:val="21"/>
              </w:rPr>
              <w:t>10</w:t>
            </w:r>
            <w:r>
              <w:rPr>
                <w:rFonts w:hint="eastAsia" w:ascii="黑体" w:hAnsi="黑体" w:eastAsia="黑体" w:cs="黑体"/>
                <w:sz w:val="21"/>
                <w:szCs w:val="21"/>
              </w:rPr>
              <w:t>~</w:t>
            </w:r>
            <w:r>
              <w:rPr>
                <w:rFonts w:hint="eastAsia"/>
                <w:sz w:val="21"/>
                <w:szCs w:val="21"/>
              </w:rPr>
              <w:t>25</w:t>
            </w:r>
          </w:p>
        </w:tc>
      </w:tr>
      <w:tr w14:paraId="77B5EC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61" w:type="dxa"/>
            <w:vMerge w:val="continue"/>
            <w:shd w:val="clear" w:color="auto" w:fill="auto"/>
            <w:vAlign w:val="center"/>
          </w:tcPr>
          <w:p w14:paraId="4903825B">
            <w:pPr>
              <w:pStyle w:val="178"/>
              <w:adjustRightInd w:val="0"/>
              <w:rPr>
                <w:sz w:val="21"/>
                <w:szCs w:val="21"/>
              </w:rPr>
            </w:pPr>
          </w:p>
        </w:tc>
        <w:tc>
          <w:tcPr>
            <w:tcW w:w="2268" w:type="dxa"/>
            <w:gridSpan w:val="2"/>
            <w:shd w:val="clear" w:color="auto" w:fill="auto"/>
            <w:vAlign w:val="center"/>
          </w:tcPr>
          <w:p w14:paraId="2E88831A">
            <w:pPr>
              <w:pStyle w:val="178"/>
              <w:adjustRightInd w:val="0"/>
              <w:rPr>
                <w:sz w:val="21"/>
                <w:szCs w:val="21"/>
              </w:rPr>
            </w:pPr>
            <w:r>
              <w:rPr>
                <w:rFonts w:hAnsi="宋体" w:cs="宋体"/>
                <w:spacing w:val="3"/>
                <w:sz w:val="21"/>
                <w:szCs w:val="21"/>
              </w:rPr>
              <w:t>纵横差</w:t>
            </w:r>
            <w:r>
              <w:rPr>
                <w:rFonts w:hAnsi="宋体" w:cs="宋体"/>
                <w:spacing w:val="2"/>
                <w:sz w:val="21"/>
                <w:szCs w:val="21"/>
              </w:rPr>
              <w:t xml:space="preserve">        </w:t>
            </w:r>
            <w:r>
              <w:rPr>
                <w:rFonts w:hint="eastAsia" w:hAnsi="宋体" w:cs="宋体"/>
                <w:spacing w:val="2"/>
                <w:sz w:val="21"/>
                <w:szCs w:val="21"/>
              </w:rPr>
              <w:t xml:space="preserve"> </w:t>
            </w:r>
            <w:r>
              <w:rPr>
                <w:rFonts w:hAnsi="宋体" w:cs="宋体"/>
                <w:spacing w:val="3"/>
                <w:sz w:val="21"/>
                <w:szCs w:val="21"/>
              </w:rPr>
              <w:t>≤</w:t>
            </w:r>
          </w:p>
        </w:tc>
        <w:tc>
          <w:tcPr>
            <w:tcW w:w="1559" w:type="dxa"/>
            <w:vMerge w:val="continue"/>
            <w:shd w:val="clear" w:color="auto" w:fill="auto"/>
            <w:vAlign w:val="center"/>
          </w:tcPr>
          <w:p w14:paraId="0AE09236">
            <w:pPr>
              <w:pStyle w:val="178"/>
              <w:adjustRightInd w:val="0"/>
              <w:rPr>
                <w:sz w:val="21"/>
                <w:szCs w:val="21"/>
              </w:rPr>
            </w:pPr>
          </w:p>
        </w:tc>
        <w:tc>
          <w:tcPr>
            <w:tcW w:w="2771" w:type="dxa"/>
            <w:shd w:val="clear" w:color="auto" w:fill="auto"/>
            <w:vAlign w:val="center"/>
          </w:tcPr>
          <w:p w14:paraId="064FBD24">
            <w:pPr>
              <w:pStyle w:val="178"/>
              <w:adjustRightInd w:val="0"/>
              <w:rPr>
                <w:sz w:val="21"/>
                <w:szCs w:val="21"/>
              </w:rPr>
            </w:pPr>
            <w:r>
              <w:rPr>
                <w:rFonts w:hint="eastAsia" w:hAnsi="宋体" w:cs="宋体"/>
                <w:spacing w:val="-4"/>
                <w:sz w:val="21"/>
                <w:szCs w:val="21"/>
              </w:rPr>
              <w:t>3</w:t>
            </w:r>
            <w:r>
              <w:rPr>
                <w:rFonts w:hAnsi="宋体" w:cs="宋体"/>
                <w:spacing w:val="-4"/>
                <w:sz w:val="21"/>
                <w:szCs w:val="21"/>
              </w:rPr>
              <w:t>.0</w:t>
            </w:r>
          </w:p>
        </w:tc>
      </w:tr>
      <w:tr w14:paraId="5CA094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61" w:type="dxa"/>
            <w:vMerge w:val="restart"/>
            <w:shd w:val="clear" w:color="auto" w:fill="auto"/>
            <w:vAlign w:val="center"/>
          </w:tcPr>
          <w:p w14:paraId="087D125B">
            <w:pPr>
              <w:pStyle w:val="178"/>
              <w:adjustRightInd w:val="0"/>
              <w:rPr>
                <w:sz w:val="21"/>
                <w:szCs w:val="21"/>
              </w:rPr>
            </w:pPr>
            <w:r>
              <w:rPr>
                <w:rFonts w:hint="eastAsia"/>
                <w:sz w:val="21"/>
                <w:szCs w:val="21"/>
              </w:rPr>
              <w:t>伸缩性</w:t>
            </w:r>
          </w:p>
        </w:tc>
        <w:tc>
          <w:tcPr>
            <w:tcW w:w="2268" w:type="dxa"/>
            <w:gridSpan w:val="2"/>
            <w:shd w:val="clear" w:color="auto" w:fill="auto"/>
            <w:vAlign w:val="center"/>
          </w:tcPr>
          <w:p w14:paraId="5EB1F8F6">
            <w:pPr>
              <w:pStyle w:val="178"/>
              <w:adjustRightInd w:val="0"/>
              <w:rPr>
                <w:sz w:val="21"/>
                <w:szCs w:val="21"/>
              </w:rPr>
            </w:pPr>
            <w:r>
              <w:rPr>
                <w:rFonts w:hAnsi="宋体" w:cs="宋体"/>
                <w:spacing w:val="1"/>
                <w:sz w:val="21"/>
                <w:szCs w:val="21"/>
              </w:rPr>
              <w:t>受湿后平均伸长</w:t>
            </w:r>
            <w:r>
              <w:rPr>
                <w:rFonts w:hint="eastAsia" w:hAnsi="宋体" w:cs="宋体"/>
                <w:spacing w:val="1"/>
                <w:sz w:val="21"/>
                <w:szCs w:val="21"/>
              </w:rPr>
              <w:t xml:space="preserve">  </w:t>
            </w:r>
            <w:r>
              <w:rPr>
                <w:rFonts w:hAnsi="宋体" w:cs="宋体"/>
                <w:spacing w:val="1"/>
                <w:sz w:val="21"/>
                <w:szCs w:val="21"/>
              </w:rPr>
              <w:t>≤</w:t>
            </w:r>
          </w:p>
        </w:tc>
        <w:tc>
          <w:tcPr>
            <w:tcW w:w="1559" w:type="dxa"/>
            <w:vMerge w:val="restart"/>
            <w:shd w:val="clear" w:color="auto" w:fill="auto"/>
            <w:vAlign w:val="center"/>
          </w:tcPr>
          <w:p w14:paraId="1BDD2C4C">
            <w:pPr>
              <w:pStyle w:val="178"/>
              <w:adjustRightInd w:val="0"/>
              <w:rPr>
                <w:sz w:val="21"/>
                <w:szCs w:val="21"/>
              </w:rPr>
            </w:pPr>
            <w:r>
              <w:rPr>
                <w:sz w:val="21"/>
                <w:szCs w:val="21"/>
              </w:rPr>
              <w:t>%</w:t>
            </w:r>
          </w:p>
        </w:tc>
        <w:tc>
          <w:tcPr>
            <w:tcW w:w="2771" w:type="dxa"/>
            <w:shd w:val="clear" w:color="auto" w:fill="auto"/>
            <w:vAlign w:val="center"/>
          </w:tcPr>
          <w:p w14:paraId="200EB67A">
            <w:pPr>
              <w:pStyle w:val="178"/>
              <w:adjustRightInd w:val="0"/>
              <w:rPr>
                <w:sz w:val="21"/>
                <w:szCs w:val="21"/>
              </w:rPr>
            </w:pPr>
            <w:r>
              <w:rPr>
                <w:rFonts w:hint="eastAsia"/>
                <w:sz w:val="21"/>
                <w:szCs w:val="21"/>
              </w:rPr>
              <w:t>0.75</w:t>
            </w:r>
          </w:p>
        </w:tc>
      </w:tr>
      <w:tr w14:paraId="0D66B5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61" w:type="dxa"/>
            <w:vMerge w:val="continue"/>
            <w:shd w:val="clear" w:color="auto" w:fill="auto"/>
            <w:vAlign w:val="center"/>
          </w:tcPr>
          <w:p w14:paraId="315B9705">
            <w:pPr>
              <w:pStyle w:val="178"/>
              <w:adjustRightInd w:val="0"/>
              <w:rPr>
                <w:sz w:val="21"/>
                <w:szCs w:val="21"/>
              </w:rPr>
            </w:pPr>
          </w:p>
        </w:tc>
        <w:tc>
          <w:tcPr>
            <w:tcW w:w="2268" w:type="dxa"/>
            <w:gridSpan w:val="2"/>
            <w:shd w:val="clear" w:color="auto" w:fill="auto"/>
            <w:vAlign w:val="center"/>
          </w:tcPr>
          <w:p w14:paraId="5731A184">
            <w:pPr>
              <w:pStyle w:val="178"/>
              <w:adjustRightInd w:val="0"/>
              <w:rPr>
                <w:sz w:val="21"/>
                <w:szCs w:val="21"/>
              </w:rPr>
            </w:pPr>
            <w:r>
              <w:rPr>
                <w:rFonts w:hAnsi="宋体" w:cs="宋体"/>
                <w:spacing w:val="3"/>
                <w:sz w:val="21"/>
                <w:szCs w:val="21"/>
              </w:rPr>
              <w:t>干燥后平均收缩</w:t>
            </w:r>
            <w:r>
              <w:rPr>
                <w:rFonts w:hint="eastAsia" w:hAnsi="宋体" w:cs="宋体"/>
                <w:spacing w:val="3"/>
                <w:sz w:val="21"/>
                <w:szCs w:val="21"/>
              </w:rPr>
              <w:t xml:space="preserve"> </w:t>
            </w:r>
            <w:r>
              <w:rPr>
                <w:rFonts w:hAnsi="宋体" w:cs="宋体"/>
                <w:spacing w:val="3"/>
                <w:sz w:val="21"/>
                <w:szCs w:val="21"/>
              </w:rPr>
              <w:t>≤</w:t>
            </w:r>
          </w:p>
        </w:tc>
        <w:tc>
          <w:tcPr>
            <w:tcW w:w="1559" w:type="dxa"/>
            <w:vMerge w:val="continue"/>
            <w:shd w:val="clear" w:color="auto" w:fill="auto"/>
            <w:vAlign w:val="center"/>
          </w:tcPr>
          <w:p w14:paraId="58A7BF47">
            <w:pPr>
              <w:pStyle w:val="178"/>
              <w:adjustRightInd w:val="0"/>
              <w:rPr>
                <w:sz w:val="21"/>
                <w:szCs w:val="21"/>
              </w:rPr>
            </w:pPr>
          </w:p>
        </w:tc>
        <w:tc>
          <w:tcPr>
            <w:tcW w:w="2771" w:type="dxa"/>
            <w:shd w:val="clear" w:color="auto" w:fill="auto"/>
            <w:vAlign w:val="center"/>
          </w:tcPr>
          <w:p w14:paraId="0F81F3D2">
            <w:pPr>
              <w:pStyle w:val="178"/>
              <w:adjustRightInd w:val="0"/>
              <w:rPr>
                <w:sz w:val="21"/>
                <w:szCs w:val="21"/>
              </w:rPr>
            </w:pPr>
            <w:r>
              <w:rPr>
                <w:rFonts w:hint="eastAsia"/>
                <w:sz w:val="21"/>
                <w:szCs w:val="21"/>
              </w:rPr>
              <w:t>0.5</w:t>
            </w:r>
          </w:p>
        </w:tc>
      </w:tr>
      <w:tr w14:paraId="53C6CC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29" w:type="dxa"/>
            <w:gridSpan w:val="3"/>
            <w:shd w:val="clear" w:color="auto" w:fill="auto"/>
            <w:vAlign w:val="center"/>
          </w:tcPr>
          <w:p w14:paraId="0BEEACEE">
            <w:pPr>
              <w:pStyle w:val="178"/>
              <w:adjustRightInd w:val="0"/>
              <w:ind w:firstLine="1260" w:firstLineChars="600"/>
              <w:jc w:val="both"/>
              <w:rPr>
                <w:sz w:val="21"/>
                <w:szCs w:val="21"/>
              </w:rPr>
            </w:pPr>
            <w:r>
              <w:rPr>
                <w:sz w:val="21"/>
                <w:szCs w:val="21"/>
              </w:rPr>
              <w:t>pH</w:t>
            </w:r>
            <w:r>
              <w:rPr>
                <w:rFonts w:hint="eastAsia"/>
                <w:sz w:val="21"/>
                <w:szCs w:val="21"/>
              </w:rPr>
              <w:t xml:space="preserve">                    ≥</w:t>
            </w:r>
          </w:p>
        </w:tc>
        <w:tc>
          <w:tcPr>
            <w:tcW w:w="1559" w:type="dxa"/>
            <w:shd w:val="clear" w:color="auto" w:fill="auto"/>
            <w:vAlign w:val="center"/>
          </w:tcPr>
          <w:p w14:paraId="35DAB8D1">
            <w:pPr>
              <w:pStyle w:val="178"/>
              <w:adjustRightInd w:val="0"/>
              <w:rPr>
                <w:sz w:val="21"/>
                <w:szCs w:val="21"/>
              </w:rPr>
            </w:pPr>
          </w:p>
        </w:tc>
        <w:tc>
          <w:tcPr>
            <w:tcW w:w="2771" w:type="dxa"/>
            <w:shd w:val="clear" w:color="auto" w:fill="auto"/>
            <w:vAlign w:val="center"/>
          </w:tcPr>
          <w:p w14:paraId="48086466">
            <w:pPr>
              <w:pStyle w:val="178"/>
              <w:adjustRightInd w:val="0"/>
              <w:rPr>
                <w:sz w:val="21"/>
                <w:szCs w:val="21"/>
              </w:rPr>
            </w:pPr>
            <w:r>
              <w:rPr>
                <w:rFonts w:hint="eastAsia"/>
                <w:sz w:val="21"/>
                <w:szCs w:val="21"/>
              </w:rPr>
              <w:t>7.5</w:t>
            </w:r>
          </w:p>
        </w:tc>
      </w:tr>
      <w:tr w14:paraId="680091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61" w:type="dxa"/>
            <w:vMerge w:val="restart"/>
            <w:shd w:val="clear" w:color="auto" w:fill="auto"/>
            <w:vAlign w:val="center"/>
          </w:tcPr>
          <w:p w14:paraId="5DDF5B09">
            <w:pPr>
              <w:pStyle w:val="178"/>
              <w:adjustRightInd w:val="0"/>
              <w:rPr>
                <w:sz w:val="21"/>
                <w:szCs w:val="21"/>
              </w:rPr>
            </w:pPr>
            <w:r>
              <w:rPr>
                <w:rFonts w:hint="eastAsia"/>
                <w:sz w:val="21"/>
                <w:szCs w:val="21"/>
              </w:rPr>
              <w:t>尘埃度</w:t>
            </w:r>
          </w:p>
        </w:tc>
        <w:tc>
          <w:tcPr>
            <w:tcW w:w="2268" w:type="dxa"/>
            <w:gridSpan w:val="2"/>
            <w:shd w:val="clear" w:color="auto" w:fill="auto"/>
            <w:vAlign w:val="center"/>
          </w:tcPr>
          <w:p w14:paraId="3F9FC455">
            <w:pPr>
              <w:pStyle w:val="178"/>
              <w:adjustRightInd w:val="0"/>
              <w:rPr>
                <w:sz w:val="21"/>
                <w:szCs w:val="21"/>
              </w:rPr>
            </w:pPr>
            <w:r>
              <w:rPr>
                <w:rFonts w:hAnsi="宋体" w:cs="宋体"/>
                <w:spacing w:val="17"/>
                <w:sz w:val="21"/>
                <w:szCs w:val="21"/>
              </w:rPr>
              <w:t>尘埃面积(S),m²</w:t>
            </w:r>
          </w:p>
        </w:tc>
        <w:tc>
          <w:tcPr>
            <w:tcW w:w="1559" w:type="dxa"/>
            <w:vMerge w:val="restart"/>
            <w:shd w:val="clear" w:color="auto" w:fill="auto"/>
            <w:vAlign w:val="center"/>
          </w:tcPr>
          <w:p w14:paraId="7B00AC2C">
            <w:pPr>
              <w:pStyle w:val="178"/>
              <w:adjustRightInd w:val="0"/>
              <w:rPr>
                <w:sz w:val="21"/>
                <w:szCs w:val="21"/>
              </w:rPr>
            </w:pPr>
            <w:r>
              <w:rPr>
                <w:rFonts w:hint="eastAsia"/>
                <w:sz w:val="21"/>
                <w:szCs w:val="21"/>
              </w:rPr>
              <w:t>个/m²</w:t>
            </w:r>
          </w:p>
        </w:tc>
        <w:tc>
          <w:tcPr>
            <w:tcW w:w="2771" w:type="dxa"/>
            <w:shd w:val="clear" w:color="auto" w:fill="auto"/>
            <w:vAlign w:val="center"/>
          </w:tcPr>
          <w:p w14:paraId="159CCCB5">
            <w:pPr>
              <w:pStyle w:val="178"/>
              <w:adjustRightInd w:val="0"/>
              <w:rPr>
                <w:sz w:val="21"/>
                <w:szCs w:val="21"/>
              </w:rPr>
            </w:pPr>
            <w:r>
              <w:rPr>
                <w:rFonts w:hint="eastAsia"/>
                <w:sz w:val="21"/>
                <w:szCs w:val="21"/>
              </w:rPr>
              <w:t>/</w:t>
            </w:r>
          </w:p>
        </w:tc>
      </w:tr>
      <w:tr w14:paraId="2AEDF5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61" w:type="dxa"/>
            <w:vMerge w:val="continue"/>
            <w:shd w:val="clear" w:color="auto" w:fill="auto"/>
            <w:vAlign w:val="center"/>
          </w:tcPr>
          <w:p w14:paraId="1E196A93">
            <w:pPr>
              <w:pStyle w:val="178"/>
              <w:adjustRightInd w:val="0"/>
              <w:rPr>
                <w:sz w:val="21"/>
                <w:szCs w:val="21"/>
              </w:rPr>
            </w:pPr>
          </w:p>
        </w:tc>
        <w:tc>
          <w:tcPr>
            <w:tcW w:w="1559" w:type="dxa"/>
            <w:shd w:val="clear" w:color="auto" w:fill="auto"/>
            <w:vAlign w:val="center"/>
          </w:tcPr>
          <w:p w14:paraId="0B054775">
            <w:pPr>
              <w:pStyle w:val="178"/>
              <w:adjustRightInd w:val="0"/>
              <w:rPr>
                <w:sz w:val="21"/>
                <w:szCs w:val="21"/>
              </w:rPr>
            </w:pPr>
            <w:r>
              <w:rPr>
                <w:rFonts w:hint="eastAsia"/>
                <w:sz w:val="21"/>
                <w:szCs w:val="21"/>
              </w:rPr>
              <w:t>0.3≤S≤0.5</w:t>
            </w:r>
          </w:p>
        </w:tc>
        <w:tc>
          <w:tcPr>
            <w:tcW w:w="709" w:type="dxa"/>
            <w:shd w:val="clear" w:color="auto" w:fill="auto"/>
            <w:vAlign w:val="center"/>
          </w:tcPr>
          <w:p w14:paraId="2A857CB1">
            <w:pPr>
              <w:pStyle w:val="178"/>
              <w:adjustRightInd w:val="0"/>
              <w:ind w:firstLine="210" w:firstLineChars="100"/>
              <w:jc w:val="both"/>
              <w:rPr>
                <w:sz w:val="21"/>
                <w:szCs w:val="21"/>
              </w:rPr>
            </w:pPr>
            <w:r>
              <w:rPr>
                <w:rFonts w:hint="eastAsia"/>
                <w:sz w:val="21"/>
                <w:szCs w:val="21"/>
              </w:rPr>
              <w:t>≤</w:t>
            </w:r>
          </w:p>
        </w:tc>
        <w:tc>
          <w:tcPr>
            <w:tcW w:w="1559" w:type="dxa"/>
            <w:vMerge w:val="continue"/>
            <w:shd w:val="clear" w:color="auto" w:fill="auto"/>
            <w:vAlign w:val="center"/>
          </w:tcPr>
          <w:p w14:paraId="2F9A16EE">
            <w:pPr>
              <w:pStyle w:val="178"/>
              <w:adjustRightInd w:val="0"/>
              <w:rPr>
                <w:sz w:val="21"/>
                <w:szCs w:val="21"/>
              </w:rPr>
            </w:pPr>
          </w:p>
        </w:tc>
        <w:tc>
          <w:tcPr>
            <w:tcW w:w="2771" w:type="dxa"/>
            <w:shd w:val="clear" w:color="auto" w:fill="auto"/>
            <w:vAlign w:val="center"/>
          </w:tcPr>
          <w:p w14:paraId="613FBE58">
            <w:pPr>
              <w:pStyle w:val="178"/>
              <w:adjustRightInd w:val="0"/>
              <w:rPr>
                <w:sz w:val="21"/>
                <w:szCs w:val="21"/>
              </w:rPr>
            </w:pPr>
            <w:r>
              <w:rPr>
                <w:rFonts w:hint="eastAsia"/>
                <w:sz w:val="21"/>
                <w:szCs w:val="21"/>
              </w:rPr>
              <w:t>90</w:t>
            </w:r>
          </w:p>
        </w:tc>
      </w:tr>
      <w:tr w14:paraId="04F6E6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61" w:type="dxa"/>
            <w:vMerge w:val="continue"/>
            <w:shd w:val="clear" w:color="auto" w:fill="auto"/>
            <w:vAlign w:val="center"/>
          </w:tcPr>
          <w:p w14:paraId="3F81B330">
            <w:pPr>
              <w:pStyle w:val="178"/>
              <w:adjustRightInd w:val="0"/>
              <w:rPr>
                <w:sz w:val="21"/>
                <w:szCs w:val="21"/>
              </w:rPr>
            </w:pPr>
          </w:p>
        </w:tc>
        <w:tc>
          <w:tcPr>
            <w:tcW w:w="1559" w:type="dxa"/>
            <w:shd w:val="clear" w:color="auto" w:fill="auto"/>
            <w:vAlign w:val="center"/>
          </w:tcPr>
          <w:p w14:paraId="4618EBEE">
            <w:pPr>
              <w:pStyle w:val="178"/>
              <w:adjustRightInd w:val="0"/>
              <w:rPr>
                <w:sz w:val="21"/>
                <w:szCs w:val="21"/>
              </w:rPr>
            </w:pPr>
            <w:r>
              <w:rPr>
                <w:rFonts w:hint="eastAsia"/>
                <w:sz w:val="21"/>
                <w:szCs w:val="21"/>
              </w:rPr>
              <w:t>0.5&lt;S≤1.5</w:t>
            </w:r>
          </w:p>
        </w:tc>
        <w:tc>
          <w:tcPr>
            <w:tcW w:w="709" w:type="dxa"/>
            <w:shd w:val="clear" w:color="auto" w:fill="auto"/>
            <w:vAlign w:val="center"/>
          </w:tcPr>
          <w:p w14:paraId="4C9CD020">
            <w:pPr>
              <w:pStyle w:val="178"/>
              <w:adjustRightInd w:val="0"/>
              <w:ind w:firstLine="210" w:firstLineChars="100"/>
              <w:jc w:val="both"/>
              <w:rPr>
                <w:sz w:val="21"/>
                <w:szCs w:val="21"/>
              </w:rPr>
            </w:pPr>
            <w:r>
              <w:rPr>
                <w:rFonts w:hint="eastAsia"/>
                <w:sz w:val="21"/>
                <w:szCs w:val="21"/>
              </w:rPr>
              <w:t>≤</w:t>
            </w:r>
          </w:p>
        </w:tc>
        <w:tc>
          <w:tcPr>
            <w:tcW w:w="1559" w:type="dxa"/>
            <w:vMerge w:val="continue"/>
            <w:shd w:val="clear" w:color="auto" w:fill="auto"/>
            <w:vAlign w:val="center"/>
          </w:tcPr>
          <w:p w14:paraId="18C7735B">
            <w:pPr>
              <w:pStyle w:val="178"/>
              <w:adjustRightInd w:val="0"/>
              <w:rPr>
                <w:sz w:val="21"/>
                <w:szCs w:val="21"/>
              </w:rPr>
            </w:pPr>
          </w:p>
        </w:tc>
        <w:tc>
          <w:tcPr>
            <w:tcW w:w="2771" w:type="dxa"/>
            <w:shd w:val="clear" w:color="auto" w:fill="auto"/>
            <w:vAlign w:val="center"/>
          </w:tcPr>
          <w:p w14:paraId="0CE6EE8B">
            <w:pPr>
              <w:pStyle w:val="178"/>
              <w:adjustRightInd w:val="0"/>
              <w:rPr>
                <w:sz w:val="21"/>
                <w:szCs w:val="21"/>
              </w:rPr>
            </w:pPr>
            <w:r>
              <w:rPr>
                <w:rFonts w:hint="eastAsia"/>
                <w:sz w:val="21"/>
                <w:szCs w:val="21"/>
              </w:rPr>
              <w:t>30</w:t>
            </w:r>
          </w:p>
        </w:tc>
      </w:tr>
      <w:tr w14:paraId="2964B2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61" w:type="dxa"/>
            <w:vMerge w:val="continue"/>
            <w:shd w:val="clear" w:color="auto" w:fill="auto"/>
            <w:vAlign w:val="center"/>
          </w:tcPr>
          <w:p w14:paraId="13DAEA72">
            <w:pPr>
              <w:pStyle w:val="178"/>
              <w:adjustRightInd w:val="0"/>
              <w:rPr>
                <w:sz w:val="21"/>
                <w:szCs w:val="21"/>
              </w:rPr>
            </w:pPr>
          </w:p>
        </w:tc>
        <w:tc>
          <w:tcPr>
            <w:tcW w:w="2268" w:type="dxa"/>
            <w:gridSpan w:val="2"/>
            <w:shd w:val="clear" w:color="auto" w:fill="auto"/>
            <w:vAlign w:val="center"/>
          </w:tcPr>
          <w:p w14:paraId="1AB4BC31">
            <w:pPr>
              <w:pStyle w:val="178"/>
              <w:adjustRightInd w:val="0"/>
              <w:rPr>
                <w:sz w:val="21"/>
                <w:szCs w:val="21"/>
              </w:rPr>
            </w:pPr>
            <w:r>
              <w:rPr>
                <w:sz w:val="21"/>
                <w:szCs w:val="21"/>
              </w:rPr>
              <w:t>&gt;1.5</w:t>
            </w:r>
          </w:p>
        </w:tc>
        <w:tc>
          <w:tcPr>
            <w:tcW w:w="1559" w:type="dxa"/>
            <w:vMerge w:val="continue"/>
            <w:shd w:val="clear" w:color="auto" w:fill="auto"/>
            <w:vAlign w:val="center"/>
          </w:tcPr>
          <w:p w14:paraId="379AC93A">
            <w:pPr>
              <w:pStyle w:val="178"/>
              <w:adjustRightInd w:val="0"/>
              <w:rPr>
                <w:sz w:val="21"/>
                <w:szCs w:val="21"/>
              </w:rPr>
            </w:pPr>
          </w:p>
        </w:tc>
        <w:tc>
          <w:tcPr>
            <w:tcW w:w="2771" w:type="dxa"/>
            <w:shd w:val="clear" w:color="auto" w:fill="auto"/>
            <w:vAlign w:val="center"/>
          </w:tcPr>
          <w:p w14:paraId="55806E6C">
            <w:pPr>
              <w:pStyle w:val="178"/>
              <w:adjustRightInd w:val="0"/>
              <w:rPr>
                <w:sz w:val="21"/>
                <w:szCs w:val="21"/>
              </w:rPr>
            </w:pPr>
            <w:r>
              <w:rPr>
                <w:rFonts w:hint="eastAsia"/>
                <w:sz w:val="21"/>
                <w:szCs w:val="21"/>
              </w:rPr>
              <w:t>无</w:t>
            </w:r>
          </w:p>
        </w:tc>
      </w:tr>
      <w:tr w14:paraId="772CF9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29" w:type="dxa"/>
            <w:gridSpan w:val="3"/>
            <w:shd w:val="clear" w:color="auto" w:fill="auto"/>
            <w:vAlign w:val="center"/>
          </w:tcPr>
          <w:p w14:paraId="20923BC6">
            <w:pPr>
              <w:pStyle w:val="178"/>
              <w:adjustRightInd w:val="0"/>
              <w:rPr>
                <w:sz w:val="21"/>
                <w:szCs w:val="21"/>
              </w:rPr>
            </w:pPr>
            <w:r>
              <w:rPr>
                <w:rFonts w:hint="eastAsia"/>
                <w:sz w:val="21"/>
                <w:szCs w:val="21"/>
              </w:rPr>
              <w:t>交货水分≤</w:t>
            </w:r>
          </w:p>
        </w:tc>
        <w:tc>
          <w:tcPr>
            <w:tcW w:w="1559" w:type="dxa"/>
            <w:shd w:val="clear" w:color="auto" w:fill="auto"/>
            <w:vAlign w:val="center"/>
          </w:tcPr>
          <w:p w14:paraId="04DC3B59">
            <w:pPr>
              <w:pStyle w:val="178"/>
              <w:adjustRightInd w:val="0"/>
              <w:rPr>
                <w:sz w:val="21"/>
                <w:szCs w:val="21"/>
              </w:rPr>
            </w:pPr>
            <w:r>
              <w:rPr>
                <w:sz w:val="21"/>
                <w:szCs w:val="21"/>
              </w:rPr>
              <w:t>%</w:t>
            </w:r>
          </w:p>
        </w:tc>
        <w:tc>
          <w:tcPr>
            <w:tcW w:w="2771" w:type="dxa"/>
            <w:shd w:val="clear" w:color="auto" w:fill="auto"/>
            <w:vAlign w:val="center"/>
          </w:tcPr>
          <w:p w14:paraId="5DE011C8">
            <w:pPr>
              <w:pStyle w:val="178"/>
              <w:adjustRightInd w:val="0"/>
              <w:rPr>
                <w:sz w:val="21"/>
                <w:szCs w:val="21"/>
              </w:rPr>
            </w:pPr>
            <w:r>
              <w:rPr>
                <w:sz w:val="21"/>
                <w:szCs w:val="21"/>
              </w:rPr>
              <w:t>10.0</w:t>
            </w:r>
          </w:p>
        </w:tc>
      </w:tr>
    </w:tbl>
    <w:p w14:paraId="476DC063">
      <w:pPr>
        <w:pStyle w:val="104"/>
        <w:spacing w:before="312" w:after="312"/>
      </w:pPr>
      <w:bookmarkStart w:id="52" w:name="_Toc138084086"/>
      <w:r>
        <w:rPr>
          <w:rFonts w:hint="eastAsia"/>
        </w:rPr>
        <w:t>检验方法</w:t>
      </w:r>
      <w:bookmarkEnd w:id="52"/>
    </w:p>
    <w:p w14:paraId="4171D4DF">
      <w:pPr>
        <w:pStyle w:val="162"/>
      </w:pPr>
      <w:r>
        <w:rPr>
          <w:rFonts w:hint="eastAsia"/>
        </w:rPr>
        <w:t>试验应在GB／T 10739规定的条件下进行，试样采样按GB／T 450规定进行。</w:t>
      </w:r>
    </w:p>
    <w:p w14:paraId="2CA643B8">
      <w:pPr>
        <w:pStyle w:val="162"/>
      </w:pPr>
      <w:r>
        <w:rPr>
          <w:rFonts w:hint="eastAsia"/>
        </w:rPr>
        <w:t>纸张尺寸按GB／T 451．1规定进行测定。</w:t>
      </w:r>
    </w:p>
    <w:p w14:paraId="7B6A82AC">
      <w:pPr>
        <w:pStyle w:val="162"/>
      </w:pPr>
      <w:r>
        <w:rPr>
          <w:rFonts w:hint="eastAsia"/>
        </w:rPr>
        <w:t>定量按GB／T 451．2规定进行测定。</w:t>
      </w:r>
    </w:p>
    <w:p w14:paraId="698AA1AA">
      <w:pPr>
        <w:pStyle w:val="162"/>
      </w:pPr>
      <w:r>
        <w:rPr>
          <w:rFonts w:hint="eastAsia"/>
        </w:rPr>
        <w:t>紧度按GB/T 451.3规定进行测定。</w:t>
      </w:r>
    </w:p>
    <w:p w14:paraId="21308479">
      <w:pPr>
        <w:pStyle w:val="162"/>
      </w:pPr>
      <w:r>
        <w:rPr>
          <w:rFonts w:hint="eastAsia"/>
        </w:rPr>
        <w:t>亮度按GB/T 7974规定进行测定。</w:t>
      </w:r>
    </w:p>
    <w:p w14:paraId="2114483C">
      <w:pPr>
        <w:pStyle w:val="162"/>
      </w:pPr>
      <w:r>
        <w:rPr>
          <w:rFonts w:hint="eastAsia"/>
        </w:rPr>
        <w:t>裂断长按GB/T 12914规定进行测定。仲裁时采用恒速拉伸法测定。</w:t>
      </w:r>
    </w:p>
    <w:p w14:paraId="2F83C2C8">
      <w:pPr>
        <w:pStyle w:val="162"/>
      </w:pPr>
      <w:r>
        <w:rPr>
          <w:rFonts w:hint="eastAsia"/>
        </w:rPr>
        <w:t>撕裂指数按GB／T 455规定进行测定。</w:t>
      </w:r>
    </w:p>
    <w:p w14:paraId="0C9B7EEC">
      <w:pPr>
        <w:pStyle w:val="162"/>
      </w:pPr>
      <w:r>
        <w:rPr>
          <w:rFonts w:hint="eastAsia"/>
        </w:rPr>
        <w:t>湿抗张强度按GB／T 465．2规定进行测定，浸水时间为10 min。</w:t>
      </w:r>
    </w:p>
    <w:p w14:paraId="3182BE34">
      <w:pPr>
        <w:pStyle w:val="162"/>
      </w:pPr>
      <w:r>
        <w:rPr>
          <w:rFonts w:hint="eastAsia"/>
        </w:rPr>
        <w:t>耐老化亮度(白度)下降值按GB/T 464规定进行测定，试样在(105±2)℃下处理72h，测定老化前、后的试样亮度，计算差值。</w:t>
      </w:r>
    </w:p>
    <w:p w14:paraId="3389F382">
      <w:pPr>
        <w:pStyle w:val="162"/>
      </w:pPr>
      <w:r>
        <w:rPr>
          <w:rFonts w:hint="eastAsia"/>
        </w:rPr>
        <w:t>吸水性按GB/T 461.1规定进行测定，吸水时间为60s。</w:t>
      </w:r>
    </w:p>
    <w:p w14:paraId="36FE4D94">
      <w:pPr>
        <w:pStyle w:val="162"/>
      </w:pPr>
      <w:r>
        <w:rPr>
          <w:rFonts w:hint="eastAsia"/>
        </w:rPr>
        <w:t>伸缩性按GB／T 459规定进行测定。试样浸水2h后测定试样的伸长值，然后在温度为(23±1)℃,相对湿度为(50±2)%的大气条件下风干2h后，再测定试样的收缩值。</w:t>
      </w:r>
    </w:p>
    <w:p w14:paraId="31072930">
      <w:pPr>
        <w:pStyle w:val="162"/>
      </w:pPr>
      <w:r>
        <w:rPr>
          <w:rFonts w:hint="eastAsia"/>
        </w:rPr>
        <w:t>pH值按GB/T 1545.2冷抽提法规定进行测定。</w:t>
      </w:r>
    </w:p>
    <w:p w14:paraId="5585AAFD">
      <w:pPr>
        <w:pStyle w:val="162"/>
      </w:pPr>
      <w:r>
        <w:rPr>
          <w:rFonts w:hint="eastAsia"/>
        </w:rPr>
        <w:t>尘埃度按GB／T 1541规定进行测定。</w:t>
      </w:r>
    </w:p>
    <w:p w14:paraId="7EF38A40">
      <w:pPr>
        <w:pStyle w:val="162"/>
      </w:pPr>
      <w:r>
        <w:rPr>
          <w:rFonts w:hint="eastAsia"/>
        </w:rPr>
        <w:t>交货水分按GB／T 462的规定进行测定。</w:t>
      </w:r>
    </w:p>
    <w:p w14:paraId="1ED92EB6">
      <w:pPr>
        <w:pStyle w:val="162"/>
      </w:pPr>
      <w:r>
        <w:rPr>
          <w:rFonts w:hint="eastAsia"/>
        </w:rPr>
        <w:t>色差按CB/T 7975规定进行测定，其他项目采用目测法进行。</w:t>
      </w:r>
    </w:p>
    <w:p w14:paraId="17C46D1C">
      <w:pPr>
        <w:pStyle w:val="104"/>
        <w:spacing w:before="312" w:after="312"/>
      </w:pPr>
      <w:bookmarkStart w:id="53" w:name="_Toc138084087"/>
      <w:r>
        <w:rPr>
          <w:rFonts w:hint="eastAsia"/>
        </w:rPr>
        <w:t>检验规则</w:t>
      </w:r>
      <w:bookmarkEnd w:id="53"/>
    </w:p>
    <w:p w14:paraId="09D42723">
      <w:pPr>
        <w:pStyle w:val="105"/>
        <w:spacing w:before="156" w:after="156"/>
      </w:pPr>
      <w:r>
        <w:rPr>
          <w:rFonts w:hint="eastAsia"/>
        </w:rPr>
        <w:t>组批的规定</w:t>
      </w:r>
    </w:p>
    <w:p w14:paraId="6CB2D7C8">
      <w:pPr>
        <w:pStyle w:val="56"/>
        <w:ind w:firstLine="420"/>
      </w:pPr>
      <w:r>
        <w:rPr>
          <w:rFonts w:hint="eastAsia"/>
        </w:rPr>
        <w:t>以同类产品一次交货数量为一批，样本单位为件(每10刀为1件),每批不超过100件。</w:t>
      </w:r>
    </w:p>
    <w:p w14:paraId="3D91196E">
      <w:pPr>
        <w:pStyle w:val="105"/>
        <w:spacing w:before="156" w:after="156"/>
      </w:pPr>
      <w:r>
        <w:rPr>
          <w:rFonts w:hint="eastAsia"/>
        </w:rPr>
        <w:t>抽样方法</w:t>
      </w:r>
    </w:p>
    <w:p w14:paraId="47B3EF17">
      <w:pPr>
        <w:pStyle w:val="56"/>
        <w:ind w:firstLine="420"/>
      </w:pPr>
      <w:r>
        <w:rPr>
          <w:rFonts w:hint="eastAsia"/>
        </w:rPr>
        <w:t>从同批产品中，随机抽取3件产品，从每件中随机抽取1刀，再从3刀中每刀抽取10张样品，3刀共30 张样品用于检验和复检。</w:t>
      </w:r>
    </w:p>
    <w:p w14:paraId="4ADA4AB8">
      <w:pPr>
        <w:pStyle w:val="105"/>
        <w:spacing w:before="156" w:after="156"/>
      </w:pPr>
      <w:r>
        <w:rPr>
          <w:rFonts w:hint="eastAsia"/>
        </w:rPr>
        <w:t>检验分类</w:t>
      </w:r>
    </w:p>
    <w:p w14:paraId="029BDF9A">
      <w:pPr>
        <w:pStyle w:val="56"/>
        <w:ind w:firstLine="420"/>
      </w:pPr>
      <w:r>
        <w:rPr>
          <w:rFonts w:hint="eastAsia"/>
        </w:rPr>
        <w:t>检验分出厂检验和型式检验。</w:t>
      </w:r>
    </w:p>
    <w:p w14:paraId="1ED4EE44">
      <w:pPr>
        <w:pStyle w:val="105"/>
        <w:spacing w:before="156" w:after="156"/>
      </w:pPr>
      <w:r>
        <w:rPr>
          <w:rFonts w:hint="eastAsia"/>
        </w:rPr>
        <w:t>出厂检验</w:t>
      </w:r>
    </w:p>
    <w:p w14:paraId="3E0C36F1">
      <w:pPr>
        <w:pStyle w:val="165"/>
      </w:pPr>
      <w:r>
        <w:rPr>
          <w:rFonts w:hint="eastAsia"/>
        </w:rPr>
        <w:t>出厂检验项目主要有：尺寸偏差、定量、紧度、亮度、裂断长、撕裂指数、尘埃度、吸水性、 伸缩性、尘埃度、交货水分、外观纸病。</w:t>
      </w:r>
    </w:p>
    <w:p w14:paraId="1BA6D08B">
      <w:pPr>
        <w:pStyle w:val="165"/>
      </w:pPr>
      <w:r>
        <w:rPr>
          <w:rFonts w:hint="eastAsia"/>
        </w:rPr>
        <w:t>产品经检验合格并附质量合格标识方可出厂。</w:t>
      </w:r>
    </w:p>
    <w:p w14:paraId="29ADAAC6">
      <w:pPr>
        <w:pStyle w:val="105"/>
        <w:spacing w:before="156" w:after="156"/>
      </w:pPr>
      <w:r>
        <w:rPr>
          <w:rFonts w:hint="eastAsia"/>
        </w:rPr>
        <w:t>型式检验</w:t>
      </w:r>
    </w:p>
    <w:p w14:paraId="108EC934">
      <w:pPr>
        <w:pStyle w:val="56"/>
        <w:ind w:firstLine="420"/>
      </w:pPr>
      <w:r>
        <w:rPr>
          <w:rFonts w:hint="eastAsia"/>
        </w:rPr>
        <w:t>检验项目为本标准规定的全部技术指标，有下列情况之一者应进行型式检验：</w:t>
      </w:r>
    </w:p>
    <w:p w14:paraId="216C50C2">
      <w:pPr>
        <w:pStyle w:val="56"/>
        <w:ind w:firstLine="420"/>
      </w:pPr>
      <w:r>
        <w:rPr>
          <w:rFonts w:hint="eastAsia"/>
        </w:rPr>
        <w:t>a)  产品停产后，恢复生产时；</w:t>
      </w:r>
    </w:p>
    <w:p w14:paraId="624D6FB0">
      <w:pPr>
        <w:pStyle w:val="56"/>
        <w:ind w:firstLine="420"/>
      </w:pPr>
      <w:r>
        <w:rPr>
          <w:rFonts w:hint="eastAsia"/>
        </w:rPr>
        <w:t>b)  正常生产，每半年进行一次；</w:t>
      </w:r>
    </w:p>
    <w:p w14:paraId="34BBD99B">
      <w:pPr>
        <w:pStyle w:val="56"/>
        <w:ind w:firstLine="420"/>
      </w:pPr>
      <w:r>
        <w:rPr>
          <w:rFonts w:hint="eastAsia"/>
        </w:rPr>
        <w:t>c)  出厂检验结果与上次型式检验有较大差异时；</w:t>
      </w:r>
    </w:p>
    <w:p w14:paraId="67380499">
      <w:pPr>
        <w:pStyle w:val="56"/>
        <w:ind w:firstLine="420"/>
      </w:pPr>
      <w:r>
        <w:rPr>
          <w:rFonts w:hint="eastAsia"/>
        </w:rPr>
        <w:t>d)  质量监督部门提出型式检验要求时。</w:t>
      </w:r>
    </w:p>
    <w:p w14:paraId="65B7B5E5">
      <w:pPr>
        <w:pStyle w:val="105"/>
        <w:spacing w:before="156" w:after="156"/>
      </w:pPr>
      <w:r>
        <w:rPr>
          <w:rFonts w:hint="eastAsia"/>
        </w:rPr>
        <w:t>判定规则</w:t>
      </w:r>
    </w:p>
    <w:p w14:paraId="2A0B0A08">
      <w:pPr>
        <w:pStyle w:val="65"/>
        <w:spacing w:before="156" w:after="156"/>
      </w:pPr>
      <w:r>
        <w:rPr>
          <w:rFonts w:hint="eastAsia"/>
        </w:rPr>
        <w:t>出厂检验</w:t>
      </w:r>
    </w:p>
    <w:p w14:paraId="7FF656B1">
      <w:pPr>
        <w:pStyle w:val="56"/>
        <w:ind w:firstLine="420"/>
      </w:pPr>
      <w:r>
        <w:rPr>
          <w:rFonts w:hint="eastAsia"/>
        </w:rPr>
        <w:t>当出厂检验项目全部合格时，判为批</w:t>
      </w:r>
      <w:bookmarkStart w:id="57" w:name="_GoBack"/>
      <w:bookmarkEnd w:id="57"/>
      <w:r>
        <w:rPr>
          <w:rFonts w:hint="eastAsia"/>
        </w:rPr>
        <w:t>合格，当这些项目中任何一项出现不合格时，则判为批不合格。</w:t>
      </w:r>
    </w:p>
    <w:p w14:paraId="5BBD8F73">
      <w:pPr>
        <w:pStyle w:val="65"/>
        <w:spacing w:before="156" w:after="156"/>
      </w:pPr>
      <w:r>
        <w:rPr>
          <w:rFonts w:hint="eastAsia"/>
        </w:rPr>
        <w:t>型式检验</w:t>
      </w:r>
    </w:p>
    <w:p w14:paraId="33B10F15">
      <w:pPr>
        <w:pStyle w:val="56"/>
        <w:ind w:firstLine="420"/>
      </w:pPr>
      <w:r>
        <w:rPr>
          <w:rFonts w:hint="eastAsia"/>
        </w:rPr>
        <w:t>当型式检验项目全部合格时，判为批合格，当这些项目中任何一项出现不合格时可进行一次复检，复检合格判为合格，复检不合格则判为批不合格。</w:t>
      </w:r>
    </w:p>
    <w:p w14:paraId="7E17A9BE">
      <w:pPr>
        <w:pStyle w:val="104"/>
        <w:spacing w:before="312" w:after="312"/>
      </w:pPr>
      <w:bookmarkStart w:id="54" w:name="_Toc138084088"/>
      <w:r>
        <w:rPr>
          <w:rFonts w:hint="eastAsia"/>
        </w:rPr>
        <w:t>标志、包装、运输、贮存</w:t>
      </w:r>
      <w:bookmarkEnd w:id="54"/>
    </w:p>
    <w:p w14:paraId="086DC6CD">
      <w:pPr>
        <w:pStyle w:val="105"/>
        <w:spacing w:before="156" w:after="156"/>
      </w:pPr>
      <w:r>
        <w:rPr>
          <w:rFonts w:hint="eastAsia"/>
        </w:rPr>
        <w:t>标志、包装</w:t>
      </w:r>
    </w:p>
    <w:p w14:paraId="289267DE">
      <w:pPr>
        <w:pStyle w:val="165"/>
      </w:pPr>
      <w:r>
        <w:rPr>
          <w:rFonts w:hint="eastAsia"/>
        </w:rPr>
        <w:t>应符合GB/T 10342和GB/T 191的规定。</w:t>
      </w:r>
    </w:p>
    <w:p w14:paraId="199AE8B1">
      <w:pPr>
        <w:pStyle w:val="165"/>
      </w:pPr>
      <w:r>
        <w:rPr>
          <w:rFonts w:hint="eastAsia"/>
        </w:rPr>
        <w:t>每刀连四纸的切口应有生产企业名称及商标印章。外包装应标注产品名称、原料、规格尺寸、数量、生产企业名称和地址、执行标准号、生产日期等以及防雨、防潮标志，或按订货合同的规定进行。</w:t>
      </w:r>
    </w:p>
    <w:p w14:paraId="03380DB2">
      <w:pPr>
        <w:pStyle w:val="105"/>
        <w:spacing w:before="156" w:after="156"/>
      </w:pPr>
      <w:r>
        <w:rPr>
          <w:rFonts w:hint="eastAsia"/>
        </w:rPr>
        <w:t>运输</w:t>
      </w:r>
    </w:p>
    <w:p w14:paraId="6BC530FA">
      <w:pPr>
        <w:pStyle w:val="56"/>
        <w:ind w:firstLine="420"/>
      </w:pPr>
      <w:r>
        <w:rPr>
          <w:rFonts w:hint="eastAsia"/>
        </w:rPr>
        <w:t>运输时应使用防雨且洁净的运输工具，运输过程中不得暴晒、雨淋、受潮，不得剧烈碰撞。</w:t>
      </w:r>
    </w:p>
    <w:p w14:paraId="5334C862">
      <w:pPr>
        <w:pStyle w:val="105"/>
        <w:spacing w:before="156" w:after="156"/>
      </w:pPr>
      <w:r>
        <w:rPr>
          <w:rFonts w:hint="eastAsia"/>
        </w:rPr>
        <w:t>贮存</w:t>
      </w:r>
    </w:p>
    <w:p w14:paraId="321BF13A">
      <w:pPr>
        <w:pStyle w:val="56"/>
        <w:ind w:firstLine="420"/>
      </w:pPr>
      <w:r>
        <w:rPr>
          <w:rFonts w:hint="eastAsia"/>
        </w:rPr>
        <w:t>产品应贮存在阴凉、干燥、通风的库房中，严禁露天堆放、日晒、雨淋或靠近热源。</w:t>
      </w:r>
    </w:p>
    <w:p w14:paraId="5D68DE18">
      <w:pPr>
        <w:pStyle w:val="56"/>
        <w:ind w:firstLine="420"/>
      </w:pPr>
    </w:p>
    <w:p w14:paraId="76FC16F4">
      <w:pPr>
        <w:pStyle w:val="56"/>
        <w:ind w:firstLine="0" w:firstLineChars="0"/>
      </w:pPr>
    </w:p>
    <w:p w14:paraId="386E2A84">
      <w:pPr>
        <w:pStyle w:val="56"/>
        <w:ind w:firstLine="420"/>
        <w:jc w:val="center"/>
        <w:rPr>
          <w:rFonts w:ascii="黑体" w:hAnsi="黑体" w:eastAsia="黑体" w:cs="黑体"/>
        </w:rPr>
      </w:pPr>
      <w:r>
        <w:rPr>
          <w:rFonts w:hint="eastAsia" w:ascii="黑体" w:hAnsi="黑体" w:eastAsia="黑体" w:cs="黑体"/>
        </w:rPr>
        <w:t>附 录 A</w:t>
      </w:r>
    </w:p>
    <w:p w14:paraId="7EDBFE28">
      <w:pPr>
        <w:pStyle w:val="56"/>
        <w:ind w:firstLine="420"/>
        <w:jc w:val="center"/>
        <w:rPr>
          <w:rFonts w:ascii="黑体" w:hAnsi="黑体" w:eastAsia="黑体" w:cs="黑体"/>
        </w:rPr>
      </w:pPr>
      <w:r>
        <w:rPr>
          <w:rFonts w:hint="eastAsia" w:ascii="黑体" w:hAnsi="黑体" w:eastAsia="黑体" w:cs="黑体"/>
        </w:rPr>
        <w:t>（规范性）</w:t>
      </w:r>
    </w:p>
    <w:p w14:paraId="5E0B60C6">
      <w:pPr>
        <w:pStyle w:val="56"/>
        <w:ind w:firstLine="420"/>
        <w:jc w:val="center"/>
        <w:rPr>
          <w:rFonts w:hint="eastAsia" w:ascii="宋体" w:hAnsi="宋体" w:eastAsia="宋体" w:cs="宋体"/>
        </w:rPr>
      </w:pPr>
      <w:r>
        <w:rPr>
          <w:rFonts w:hint="eastAsia" w:ascii="宋体" w:hAnsi="宋体" w:eastAsia="宋体" w:cs="宋体"/>
        </w:rPr>
        <w:t>铅山连四纸地理标志</w:t>
      </w:r>
      <w:r>
        <w:rPr>
          <w:rFonts w:hint="eastAsia" w:hAnsi="宋体" w:cs="宋体"/>
          <w:lang w:eastAsia="zh-CN"/>
        </w:rPr>
        <w:t>产品</w:t>
      </w:r>
      <w:r>
        <w:rPr>
          <w:rFonts w:hint="eastAsia" w:ascii="宋体" w:hAnsi="宋体" w:eastAsia="宋体" w:cs="宋体"/>
        </w:rPr>
        <w:t>保护范围</w:t>
      </w:r>
    </w:p>
    <w:p w14:paraId="31E366D5">
      <w:pPr>
        <w:pStyle w:val="56"/>
        <w:ind w:firstLine="420"/>
        <w:jc w:val="center"/>
        <w:rPr>
          <w:rFonts w:hint="eastAsia" w:ascii="宋体" w:hAnsi="宋体" w:eastAsia="宋体" w:cs="宋体"/>
        </w:rPr>
      </w:pPr>
    </w:p>
    <w:p w14:paraId="129ED3F7">
      <w:pPr>
        <w:pStyle w:val="56"/>
        <w:ind w:firstLine="420"/>
        <w:jc w:val="both"/>
        <w:rPr>
          <w:rFonts w:hint="default" w:ascii="黑体" w:hAnsi="黑体" w:eastAsia="黑体" w:cs="黑体"/>
          <w:lang w:val="en-US" w:eastAsia="zh-CN"/>
        </w:rPr>
      </w:pPr>
      <w:r>
        <w:rPr>
          <w:rFonts w:hint="eastAsia" w:ascii="黑体" w:hAnsi="黑体" w:eastAsia="黑体" w:cs="黑体"/>
          <w:lang w:val="en-US" w:eastAsia="zh-CN"/>
        </w:rPr>
        <w:t>A.1 铅山连四纸地理标志产品保护范围图</w:t>
      </w:r>
    </w:p>
    <w:p w14:paraId="24B69ED8">
      <w:pPr>
        <w:pStyle w:val="56"/>
        <w:ind w:firstLine="420"/>
        <w:jc w:val="center"/>
      </w:pPr>
    </w:p>
    <w:p w14:paraId="00A8432A">
      <w:pPr>
        <w:pStyle w:val="56"/>
        <w:ind w:firstLine="0" w:firstLineChars="0"/>
        <w:jc w:val="center"/>
        <w:rPr>
          <w:rFonts w:hint="eastAsia" w:eastAsia="宋体"/>
          <w:lang w:eastAsia="zh-CN"/>
        </w:rPr>
      </w:pPr>
      <w:r>
        <w:rPr>
          <w:rFonts w:hint="eastAsia" w:eastAsia="宋体"/>
          <w:lang w:eastAsia="zh-CN"/>
        </w:rPr>
        <w:drawing>
          <wp:inline distT="0" distB="0" distL="114300" distR="114300">
            <wp:extent cx="5938520" cy="6965950"/>
            <wp:effectExtent l="0" t="0" r="5080" b="6350"/>
            <wp:docPr id="4" name="图片 4" descr="cac0cb60d6b3025656414ff00d95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ac0cb60d6b3025656414ff00d95569"/>
                    <pic:cNvPicPr>
                      <a:picLocks noChangeAspect="1"/>
                    </pic:cNvPicPr>
                  </pic:nvPicPr>
                  <pic:blipFill>
                    <a:blip r:embed="rId16"/>
                    <a:stretch>
                      <a:fillRect/>
                    </a:stretch>
                  </pic:blipFill>
                  <pic:spPr>
                    <a:xfrm>
                      <a:off x="0" y="0"/>
                      <a:ext cx="5938520" cy="6965950"/>
                    </a:xfrm>
                    <a:prstGeom prst="rect">
                      <a:avLst/>
                    </a:prstGeom>
                  </pic:spPr>
                </pic:pic>
              </a:graphicData>
            </a:graphic>
          </wp:inline>
        </w:drawing>
      </w:r>
    </w:p>
    <w:bookmarkEnd w:id="25"/>
    <w:p w14:paraId="3551C187">
      <w:pPr>
        <w:pStyle w:val="76"/>
        <w:numPr>
          <w:ilvl w:val="0"/>
          <w:numId w:val="0"/>
        </w:numPr>
        <w:spacing w:after="156"/>
        <w:rPr>
          <w:rFonts w:hAnsi="黑体" w:cs="黑体"/>
        </w:rPr>
      </w:pPr>
      <w:bookmarkStart w:id="55" w:name="BookMark5"/>
      <w:r>
        <w:rPr>
          <w:rFonts w:hint="eastAsia" w:hAnsi="黑体" w:cs="黑体"/>
        </w:rPr>
        <w:t xml:space="preserve">   附录B</w:t>
      </w:r>
    </w:p>
    <w:p w14:paraId="5002AB6F">
      <w:pPr>
        <w:pStyle w:val="56"/>
        <w:ind w:firstLine="420"/>
        <w:jc w:val="center"/>
        <w:rPr>
          <w:rFonts w:ascii="黑体" w:hAnsi="黑体" w:eastAsia="黑体" w:cs="黑体"/>
        </w:rPr>
      </w:pPr>
      <w:r>
        <w:rPr>
          <w:rFonts w:hint="eastAsia" w:ascii="黑体" w:hAnsi="黑体" w:eastAsia="黑体" w:cs="黑体"/>
        </w:rPr>
        <w:t>（规范性）</w:t>
      </w:r>
    </w:p>
    <w:p w14:paraId="2983F7A5">
      <w:pPr>
        <w:pStyle w:val="56"/>
        <w:ind w:firstLine="420"/>
        <w:jc w:val="center"/>
        <w:rPr>
          <w:rFonts w:ascii="黑体" w:hAnsi="黑体" w:eastAsia="黑体" w:cs="黑体"/>
        </w:rPr>
      </w:pPr>
      <w:r>
        <w:rPr>
          <w:rFonts w:hint="eastAsia" w:ascii="黑体" w:hAnsi="黑体" w:eastAsia="黑体" w:cs="黑体"/>
        </w:rPr>
        <w:t>铅山连四纸工艺流程</w:t>
      </w:r>
    </w:p>
    <w:p w14:paraId="53E6CD87">
      <w:pPr>
        <w:pStyle w:val="56"/>
        <w:ind w:left="3780" w:leftChars="1800" w:firstLine="420"/>
        <w:rPr>
          <w:rFonts w:ascii="黑体" w:hAnsi="黑体" w:eastAsia="黑体" w:cs="黑体"/>
        </w:rPr>
      </w:pPr>
    </w:p>
    <w:p w14:paraId="6D3855D9">
      <w:pPr>
        <w:pStyle w:val="78"/>
        <w:numPr>
          <w:ilvl w:val="1"/>
          <w:numId w:val="0"/>
        </w:numPr>
        <w:spacing w:before="156" w:after="156"/>
        <w:rPr>
          <w:szCs w:val="21"/>
        </w:rPr>
      </w:pPr>
      <w:r>
        <w:rPr>
          <w:rFonts w:hint="eastAsia"/>
          <w:szCs w:val="21"/>
        </w:rPr>
        <w:t>B.1 制料工艺流程</w:t>
      </w:r>
    </w:p>
    <w:p w14:paraId="1B67D29C">
      <w:pPr>
        <w:pStyle w:val="212"/>
        <w:numPr>
          <w:ilvl w:val="2"/>
          <w:numId w:val="0"/>
        </w:numPr>
        <w:ind w:firstLine="420" w:firstLineChars="200"/>
        <w:rPr>
          <w:rFonts w:hAnsi="宋体" w:cs="宋体"/>
          <w:szCs w:val="21"/>
        </w:rPr>
      </w:pPr>
      <w:r>
        <w:rPr>
          <w:rFonts w:hint="eastAsia" w:hAnsi="宋体" w:cs="宋体"/>
          <w:szCs w:val="21"/>
        </w:rPr>
        <w:t>砍竹</w:t>
      </w:r>
      <m:oMath>
        <m:r>
          <m:rPr/>
          <w:rPr>
            <w:rFonts w:hint="eastAsia" w:ascii="Cambria Math" w:hAnsi="Cambria Math" w:cs="宋体"/>
            <w:szCs w:val="21"/>
          </w:rPr>
          <m:t>→</m:t>
        </m:r>
      </m:oMath>
      <w:r>
        <w:rPr>
          <w:rFonts w:hint="eastAsia" w:hAnsi="Cambria Math" w:cs="宋体"/>
          <w:szCs w:val="21"/>
        </w:rPr>
        <w:t>坐山</w:t>
      </w:r>
      <w:r>
        <w:rPr>
          <w:rFonts w:hint="eastAsia" w:hAnsi="宋体" w:cs="宋体"/>
          <w:szCs w:val="21"/>
        </w:rPr>
        <w:t>阴干</w:t>
      </w:r>
      <m:oMath>
        <m:r>
          <m:rPr/>
          <w:rPr>
            <w:rFonts w:hint="eastAsia" w:ascii="Cambria Math" w:hAnsi="Cambria Math" w:cs="宋体"/>
            <w:szCs w:val="21"/>
          </w:rPr>
          <m:t>→</m:t>
        </m:r>
      </m:oMath>
      <w:r>
        <w:rPr>
          <w:rFonts w:hint="eastAsia" w:hAnsi="Cambria Math" w:cs="宋体"/>
          <w:szCs w:val="21"/>
        </w:rPr>
        <w:t>赶山断条</w:t>
      </w:r>
      <m:oMath>
        <m:r>
          <m:rPr/>
          <w:rPr>
            <w:rFonts w:hint="eastAsia" w:ascii="Cambria Math" w:hAnsi="Cambria Math" w:cs="宋体"/>
            <w:szCs w:val="21"/>
          </w:rPr>
          <m:t>→</m:t>
        </m:r>
      </m:oMath>
      <w:r>
        <w:rPr>
          <w:rFonts w:hint="eastAsia" w:hAnsi="Cambria Math" w:cs="宋体"/>
          <w:szCs w:val="21"/>
        </w:rPr>
        <w:t>竖柱</w:t>
      </w:r>
      <m:oMath>
        <m:r>
          <m:rPr/>
          <w:rPr>
            <w:rFonts w:hint="eastAsia" w:ascii="Cambria Math" w:hAnsi="Cambria Math" w:cs="宋体"/>
            <w:szCs w:val="21"/>
          </w:rPr>
          <m:t>→</m:t>
        </m:r>
      </m:oMath>
      <w:r>
        <w:rPr>
          <w:rFonts w:hint="eastAsia" w:hAnsi="Cambria Math" w:cs="宋体"/>
          <w:szCs w:val="21"/>
        </w:rPr>
        <w:t>堆竹</w:t>
      </w:r>
      <m:oMath>
        <m:r>
          <m:rPr/>
          <w:rPr>
            <w:rFonts w:hint="eastAsia" w:ascii="Cambria Math" w:hAnsi="Cambria Math" w:cs="宋体"/>
            <w:szCs w:val="21"/>
          </w:rPr>
          <m:t>→</m:t>
        </m:r>
      </m:oMath>
      <w:r>
        <w:rPr>
          <w:rFonts w:hint="eastAsia" w:hAnsi="宋体" w:cs="宋体"/>
          <w:szCs w:val="21"/>
        </w:rPr>
        <w:t>叠塘冲浸</w:t>
      </w:r>
      <m:oMath>
        <m:r>
          <m:rPr/>
          <w:rPr>
            <w:rFonts w:hint="eastAsia" w:ascii="Cambria Math" w:hAnsi="Cambria Math" w:cs="宋体"/>
            <w:szCs w:val="21"/>
          </w:rPr>
          <m:t>→</m:t>
        </m:r>
      </m:oMath>
      <w:r>
        <w:rPr>
          <w:rFonts w:hint="eastAsia" w:hAnsi="宋体" w:cs="宋体"/>
          <w:szCs w:val="21"/>
        </w:rPr>
        <w:t>烧塘</w:t>
      </w:r>
      <m:oMath>
        <m:r>
          <m:rPr/>
          <w:rPr>
            <w:rFonts w:hint="eastAsia" w:ascii="Cambria Math" w:hAnsi="Cambria Math" w:cs="宋体"/>
            <w:szCs w:val="21"/>
          </w:rPr>
          <m:t>→</m:t>
        </m:r>
      </m:oMath>
      <w:r>
        <w:rPr>
          <w:rFonts w:hint="eastAsia" w:hAnsi="宋体" w:cs="宋体"/>
          <w:szCs w:val="21"/>
        </w:rPr>
        <w:t>再冲浸</w:t>
      </w:r>
      <m:oMath>
        <m:r>
          <m:rPr/>
          <w:rPr>
            <w:rFonts w:hint="eastAsia" w:ascii="Cambria Math" w:hAnsi="Cambria Math" w:cs="宋体"/>
            <w:szCs w:val="21"/>
          </w:rPr>
          <m:t>→</m:t>
        </m:r>
      </m:oMath>
      <w:r>
        <w:rPr>
          <w:rFonts w:hint="eastAsia" w:hAnsi="宋体" w:cs="宋体"/>
          <w:szCs w:val="21"/>
        </w:rPr>
        <w:t>验丝</w:t>
      </w:r>
      <m:oMath>
        <m:r>
          <m:rPr/>
          <w:rPr>
            <w:rFonts w:hint="eastAsia" w:ascii="Cambria Math" w:hAnsi="Cambria Math" w:cs="宋体"/>
            <w:szCs w:val="21"/>
          </w:rPr>
          <m:t>→</m:t>
        </m:r>
      </m:oMath>
      <w:r>
        <w:rPr>
          <w:rFonts w:hint="eastAsia" w:hAnsi="宋体" w:cs="宋体"/>
          <w:szCs w:val="21"/>
        </w:rPr>
        <w:t>剥丝</w:t>
      </w:r>
      <m:oMath>
        <m:r>
          <m:rPr/>
          <w:rPr>
            <w:rFonts w:hint="eastAsia" w:ascii="Cambria Math" w:hAnsi="Cambria Math" w:cs="宋体"/>
            <w:szCs w:val="21"/>
          </w:rPr>
          <m:t>→</m:t>
        </m:r>
      </m:oMath>
      <w:r>
        <w:rPr>
          <w:rFonts w:hint="eastAsia" w:hAnsi="宋体" w:cs="宋体"/>
          <w:szCs w:val="21"/>
        </w:rPr>
        <w:t>槌丝</w:t>
      </w:r>
      <m:oMath>
        <m:r>
          <m:rPr/>
          <w:rPr>
            <w:rFonts w:hint="eastAsia" w:ascii="Cambria Math" w:hAnsi="Cambria Math" w:cs="宋体"/>
            <w:szCs w:val="21"/>
          </w:rPr>
          <m:t>→</m:t>
        </m:r>
      </m:oMath>
      <w:r>
        <w:rPr>
          <w:rFonts w:hint="eastAsia" w:hAnsi="宋体" w:cs="宋体"/>
          <w:szCs w:val="21"/>
        </w:rPr>
        <w:t>洗晒竹丝</w:t>
      </w:r>
      <m:oMath>
        <m:r>
          <m:rPr/>
          <w:rPr>
            <w:rFonts w:hint="eastAsia" w:ascii="Cambria Math" w:hAnsi="Cambria Math" w:cs="宋体"/>
            <w:szCs w:val="21"/>
          </w:rPr>
          <m:t>→</m:t>
        </m:r>
      </m:oMath>
      <w:r>
        <w:rPr>
          <w:rFonts w:hint="eastAsia" w:hAnsi="Cambria Math" w:cs="宋体"/>
          <w:szCs w:val="21"/>
        </w:rPr>
        <w:t>整理竹丝</w:t>
      </w:r>
      <m:oMath>
        <m:r>
          <m:rPr/>
          <w:rPr>
            <w:rFonts w:hint="eastAsia" w:ascii="Cambria Math" w:hAnsi="Cambria Math" w:cs="宋体"/>
            <w:szCs w:val="21"/>
          </w:rPr>
          <m:t>→</m:t>
        </m:r>
      </m:oMath>
      <w:r>
        <w:rPr>
          <w:rFonts w:hint="eastAsia" w:hAnsi="宋体" w:cs="宋体"/>
          <w:szCs w:val="21"/>
        </w:rPr>
        <w:t>踩缸</w:t>
      </w:r>
      <m:oMath>
        <m:r>
          <m:rPr/>
          <w:rPr>
            <w:rFonts w:hint="eastAsia" w:ascii="Cambria Math" w:hAnsi="Cambria Math" w:cs="宋体"/>
            <w:szCs w:val="21"/>
          </w:rPr>
          <m:t>→</m:t>
        </m:r>
      </m:oMath>
      <w:r>
        <w:rPr>
          <w:rFonts w:hint="eastAsia" w:hAnsi="宋体" w:cs="宋体"/>
          <w:szCs w:val="21"/>
        </w:rPr>
        <w:t>浆竹丝</w:t>
      </w:r>
      <m:oMath>
        <m:r>
          <m:rPr/>
          <w:rPr>
            <w:rFonts w:hint="eastAsia" w:ascii="Cambria Math" w:hAnsi="Cambria Math" w:cs="宋体"/>
            <w:szCs w:val="21"/>
          </w:rPr>
          <m:t>→</m:t>
        </m:r>
      </m:oMath>
      <w:r>
        <w:rPr>
          <w:rFonts w:hint="eastAsia" w:hAnsi="宋体" w:cs="宋体"/>
          <w:szCs w:val="21"/>
        </w:rPr>
        <w:t>霉塘</w:t>
      </w:r>
      <m:oMath>
        <m:r>
          <m:rPr/>
          <w:rPr>
            <w:rFonts w:hint="eastAsia" w:ascii="Cambria Math" w:hAnsi="Cambria Math" w:cs="宋体"/>
            <w:szCs w:val="21"/>
          </w:rPr>
          <m:t>→</m:t>
        </m:r>
      </m:oMath>
      <w:r>
        <w:rPr>
          <w:rFonts w:hint="eastAsia" w:hAnsi="宋体" w:cs="宋体"/>
          <w:szCs w:val="21"/>
        </w:rPr>
        <w:t>槌竹丝</w:t>
      </w:r>
      <m:oMath>
        <m:r>
          <m:rPr/>
          <w:rPr>
            <w:rFonts w:hint="eastAsia" w:ascii="Cambria Math" w:hAnsi="Cambria Math" w:cs="宋体"/>
            <w:szCs w:val="21"/>
          </w:rPr>
          <m:t>→</m:t>
        </m:r>
      </m:oMath>
      <w:r>
        <w:rPr>
          <w:rFonts w:hint="eastAsia" w:hAnsi="宋体" w:cs="宋体"/>
          <w:szCs w:val="21"/>
        </w:rPr>
        <w:t>摆洗</w:t>
      </w:r>
      <m:oMath>
        <m:r>
          <m:rPr/>
          <w:rPr>
            <w:rFonts w:hint="eastAsia" w:ascii="Cambria Math" w:hAnsi="Cambria Math" w:cs="宋体"/>
            <w:szCs w:val="21"/>
          </w:rPr>
          <m:t>→</m:t>
        </m:r>
      </m:oMath>
      <w:r>
        <w:rPr>
          <w:rFonts w:hint="eastAsia" w:hAnsi="宋体" w:cs="宋体"/>
          <w:szCs w:val="21"/>
        </w:rPr>
        <w:t>晾晒</w:t>
      </w:r>
      <m:oMath>
        <m:r>
          <m:rPr/>
          <w:rPr>
            <w:rFonts w:hint="eastAsia" w:ascii="Cambria Math" w:hAnsi="Cambria Math" w:cs="宋体"/>
            <w:szCs w:val="21"/>
          </w:rPr>
          <m:t>→</m:t>
        </m:r>
      </m:oMath>
      <w:r>
        <w:rPr>
          <w:rFonts w:hint="eastAsia" w:hAnsi="Cambria Math" w:cs="宋体"/>
          <w:szCs w:val="21"/>
        </w:rPr>
        <w:t>浆灰清</w:t>
      </w:r>
      <m:oMath>
        <m:r>
          <m:rPr/>
          <w:rPr>
            <w:rFonts w:hint="eastAsia" w:ascii="Cambria Math" w:hAnsi="Cambria Math" w:cs="宋体"/>
            <w:szCs w:val="21"/>
          </w:rPr>
          <m:t>→</m:t>
        </m:r>
      </m:oMath>
      <w:r>
        <w:rPr>
          <w:rFonts w:hint="eastAsia" w:hAnsi="Cambria Math" w:cs="宋体"/>
          <w:szCs w:val="21"/>
        </w:rPr>
        <w:t>装锅</w:t>
      </w:r>
      <m:oMath>
        <m:r>
          <m:rPr/>
          <w:rPr>
            <w:rFonts w:hint="eastAsia" w:ascii="Cambria Math" w:hAnsi="Cambria Math" w:cs="宋体"/>
            <w:szCs w:val="21"/>
          </w:rPr>
          <m:t>→</m:t>
        </m:r>
      </m:oMath>
      <w:r>
        <w:rPr>
          <w:rFonts w:hint="eastAsia" w:hAnsi="Cambria Math" w:cs="宋体"/>
          <w:szCs w:val="21"/>
        </w:rPr>
        <w:t>蒸煮灰清</w:t>
      </w:r>
      <m:oMath>
        <m:r>
          <m:rPr/>
          <w:rPr>
            <w:rFonts w:hint="eastAsia" w:ascii="Cambria Math" w:hAnsi="Cambria Math" w:cs="宋体"/>
            <w:szCs w:val="21"/>
          </w:rPr>
          <m:t>→</m:t>
        </m:r>
      </m:oMath>
      <w:r>
        <w:rPr>
          <w:rFonts w:hint="eastAsia" w:hAnsi="Cambria Math" w:cs="宋体"/>
          <w:szCs w:val="21"/>
        </w:rPr>
        <w:t>摆灰清</w:t>
      </w:r>
      <m:oMath>
        <m:r>
          <m:rPr/>
          <w:rPr>
            <w:rFonts w:hint="eastAsia" w:ascii="Cambria Math" w:hAnsi="Cambria Math" w:cs="宋体"/>
            <w:szCs w:val="21"/>
          </w:rPr>
          <m:t>→</m:t>
        </m:r>
      </m:oMath>
      <w:r>
        <w:rPr>
          <w:rFonts w:hint="eastAsia" w:hAnsi="Cambria Math" w:cs="宋体"/>
          <w:szCs w:val="21"/>
        </w:rPr>
        <w:t>摆清塘</w:t>
      </w:r>
      <m:oMath>
        <m:r>
          <m:rPr/>
          <w:rPr>
            <w:rFonts w:hint="eastAsia" w:ascii="Cambria Math" w:hAnsi="Cambria Math" w:cs="宋体"/>
            <w:szCs w:val="21"/>
          </w:rPr>
          <m:t>→</m:t>
        </m:r>
      </m:oMath>
      <w:r>
        <w:rPr>
          <w:rFonts w:hint="eastAsia" w:hAnsi="Cambria Math" w:cs="宋体"/>
          <w:szCs w:val="21"/>
        </w:rPr>
        <w:t>晾晒</w:t>
      </w:r>
      <m:oMath>
        <m:r>
          <m:rPr/>
          <w:rPr>
            <w:rFonts w:hint="eastAsia" w:ascii="Cambria Math" w:hAnsi="Cambria Math" w:cs="宋体"/>
            <w:szCs w:val="21"/>
          </w:rPr>
          <m:t>→</m:t>
        </m:r>
      </m:oMath>
      <w:r>
        <w:rPr>
          <w:rFonts w:hint="eastAsia" w:hAnsi="宋体" w:cs="宋体"/>
          <w:szCs w:val="21"/>
        </w:rPr>
        <w:t>制备竹碱</w:t>
      </w:r>
      <m:oMath>
        <m:r>
          <m:rPr/>
          <w:rPr>
            <w:rFonts w:hint="eastAsia" w:ascii="Cambria Math" w:hAnsi="Cambria Math" w:cs="宋体"/>
            <w:szCs w:val="21"/>
          </w:rPr>
          <m:t>→</m:t>
        </m:r>
      </m:oMath>
      <w:r>
        <w:rPr>
          <w:rFonts w:hint="eastAsia" w:hAnsi="Cambria Math" w:cs="宋体"/>
          <w:szCs w:val="21"/>
        </w:rPr>
        <w:t>纯碱勾煎</w:t>
      </w:r>
      <m:oMath>
        <m:r>
          <m:rPr/>
          <w:rPr>
            <w:rFonts w:hint="eastAsia" w:ascii="Cambria Math" w:hAnsi="Cambria Math" w:cs="宋体"/>
            <w:szCs w:val="21"/>
          </w:rPr>
          <m:t>→</m:t>
        </m:r>
      </m:oMath>
      <w:r>
        <w:rPr>
          <w:rFonts w:hint="eastAsia" w:hAnsi="Cambria Math" w:cs="宋体"/>
          <w:szCs w:val="21"/>
        </w:rPr>
        <w:t>放碱水</w:t>
      </w:r>
      <m:oMath>
        <m:r>
          <m:rPr/>
          <w:rPr>
            <w:rFonts w:hint="eastAsia" w:ascii="Cambria Math" w:hAnsi="Cambria Math" w:cs="宋体"/>
            <w:szCs w:val="21"/>
          </w:rPr>
          <m:t>→</m:t>
        </m:r>
      </m:oMath>
      <w:r>
        <w:rPr>
          <w:rFonts w:hint="eastAsia" w:hAnsi="Cambria Math" w:cs="宋体"/>
          <w:szCs w:val="21"/>
        </w:rPr>
        <w:t>装锅</w:t>
      </w:r>
      <m:oMath>
        <m:r>
          <m:rPr/>
          <w:rPr>
            <w:rFonts w:hint="eastAsia" w:ascii="Cambria Math" w:hAnsi="Cambria Math" w:cs="宋体"/>
            <w:szCs w:val="21"/>
          </w:rPr>
          <m:t>→</m:t>
        </m:r>
      </m:oMath>
      <w:r>
        <w:rPr>
          <w:rFonts w:hint="eastAsia" w:hAnsi="Cambria Math" w:cs="宋体"/>
          <w:szCs w:val="21"/>
        </w:rPr>
        <w:t>垫竹捎底</w:t>
      </w:r>
      <m:oMath>
        <m:r>
          <m:rPr/>
          <w:rPr>
            <w:rFonts w:hint="eastAsia" w:ascii="Cambria Math" w:hAnsi="Cambria Math" w:cs="宋体"/>
            <w:szCs w:val="21"/>
          </w:rPr>
          <m:t>→</m:t>
        </m:r>
      </m:oMath>
      <w:r>
        <w:rPr>
          <w:rFonts w:hint="eastAsia" w:hAnsi="Cambria Math" w:cs="宋体"/>
          <w:szCs w:val="21"/>
        </w:rPr>
        <w:t>扯水</w:t>
      </w:r>
      <m:oMath>
        <m:r>
          <m:rPr/>
          <w:rPr>
            <w:rFonts w:hint="eastAsia" w:ascii="Cambria Math" w:hAnsi="Cambria Math" w:cs="宋体"/>
            <w:szCs w:val="21"/>
          </w:rPr>
          <m:t>→</m:t>
        </m:r>
      </m:oMath>
      <w:r>
        <w:rPr>
          <w:rFonts w:hint="eastAsia" w:hAnsi="Cambria Math" w:cs="宋体"/>
          <w:szCs w:val="21"/>
        </w:rPr>
        <w:t>晾晒初煎料</w:t>
      </w:r>
      <m:oMath>
        <m:r>
          <m:rPr/>
          <w:rPr>
            <w:rFonts w:hint="eastAsia" w:ascii="Cambria Math" w:hAnsi="Cambria Math" w:cs="宋体"/>
            <w:szCs w:val="21"/>
          </w:rPr>
          <m:t>→</m:t>
        </m:r>
      </m:oMath>
      <w:r>
        <w:rPr>
          <w:rFonts w:hint="eastAsia" w:hAnsi="Cambria Math" w:cs="宋体"/>
          <w:szCs w:val="21"/>
        </w:rPr>
        <w:t>棍抽初煎</w:t>
      </w:r>
      <m:oMath>
        <m:r>
          <m:rPr/>
          <w:rPr>
            <w:rFonts w:hint="eastAsia" w:ascii="Cambria Math" w:hAnsi="Cambria Math" w:cs="宋体"/>
            <w:szCs w:val="21"/>
          </w:rPr>
          <m:t>→</m:t>
        </m:r>
      </m:oMath>
      <w:r>
        <w:rPr>
          <w:rFonts w:hint="eastAsia" w:hAnsi="Cambria Math" w:cs="宋体"/>
          <w:szCs w:val="21"/>
        </w:rPr>
        <w:t>松料</w:t>
      </w:r>
      <m:oMath>
        <m:r>
          <m:rPr/>
          <w:rPr>
            <w:rFonts w:hint="eastAsia" w:ascii="Cambria Math" w:hAnsi="Cambria Math" w:cs="宋体"/>
            <w:szCs w:val="21"/>
          </w:rPr>
          <m:t>→</m:t>
        </m:r>
      </m:oMath>
      <w:r>
        <w:rPr>
          <w:rFonts w:hint="eastAsia" w:hAnsi="Cambria Math" w:cs="宋体"/>
          <w:szCs w:val="21"/>
        </w:rPr>
        <w:t>做料饼</w:t>
      </w:r>
      <m:oMath>
        <m:r>
          <m:rPr/>
          <w:rPr>
            <w:rFonts w:hint="eastAsia" w:ascii="Cambria Math" w:hAnsi="Cambria Math" w:cs="宋体"/>
            <w:szCs w:val="21"/>
          </w:rPr>
          <m:t>→</m:t>
        </m:r>
      </m:oMath>
      <w:r>
        <w:rPr>
          <w:rFonts w:hint="eastAsia" w:hAnsi="Cambria Math" w:cs="宋体"/>
          <w:szCs w:val="21"/>
        </w:rPr>
        <w:t>漂黄饼</w:t>
      </w:r>
      <m:oMath>
        <m:r>
          <m:rPr/>
          <w:rPr>
            <w:rFonts w:hint="eastAsia" w:ascii="Cambria Math" w:hAnsi="Cambria Math" w:cs="宋体"/>
            <w:szCs w:val="21"/>
          </w:rPr>
          <m:t>→</m:t>
        </m:r>
      </m:oMath>
      <w:r>
        <w:rPr>
          <w:rFonts w:hint="eastAsia" w:hAnsi="Cambria Math" w:cs="宋体"/>
          <w:szCs w:val="21"/>
        </w:rPr>
        <w:t>翻漂黄饼</w:t>
      </w:r>
      <m:oMath>
        <m:r>
          <m:rPr/>
          <w:rPr>
            <w:rFonts w:hint="eastAsia" w:ascii="Cambria Math" w:hAnsi="Cambria Math" w:cs="宋体"/>
            <w:szCs w:val="21"/>
          </w:rPr>
          <m:t>→</m:t>
        </m:r>
      </m:oMath>
      <w:r>
        <w:rPr>
          <w:rFonts w:hint="eastAsia" w:hAnsi="Cambria Math" w:cs="宋体"/>
          <w:szCs w:val="21"/>
        </w:rPr>
        <w:t>赶料</w:t>
      </w:r>
      <m:oMath>
        <m:r>
          <m:rPr/>
          <w:rPr>
            <w:rFonts w:hint="eastAsia" w:ascii="Cambria Math" w:hAnsi="Cambria Math" w:cs="宋体"/>
            <w:szCs w:val="21"/>
          </w:rPr>
          <m:t>→</m:t>
        </m:r>
      </m:oMath>
      <w:r>
        <w:rPr>
          <w:rFonts w:hint="eastAsia" w:hAnsi="Cambria Math" w:cs="宋体"/>
          <w:szCs w:val="21"/>
        </w:rPr>
        <w:t>过碱</w:t>
      </w:r>
      <m:oMath>
        <m:r>
          <m:rPr/>
          <w:rPr>
            <w:rFonts w:hint="eastAsia" w:ascii="Cambria Math" w:hAnsi="Cambria Math" w:cs="宋体"/>
            <w:szCs w:val="21"/>
          </w:rPr>
          <m:t>→</m:t>
        </m:r>
      </m:oMath>
      <w:r>
        <w:rPr>
          <w:rFonts w:hint="eastAsia" w:hAnsi="Cambria Math" w:cs="宋体"/>
          <w:szCs w:val="21"/>
        </w:rPr>
        <w:t>装锅</w:t>
      </w:r>
      <m:oMath>
        <m:r>
          <m:rPr/>
          <w:rPr>
            <w:rFonts w:hint="eastAsia" w:ascii="Cambria Math" w:hAnsi="Cambria Math" w:cs="宋体"/>
            <w:szCs w:val="21"/>
          </w:rPr>
          <m:t>→</m:t>
        </m:r>
      </m:oMath>
      <w:r>
        <w:rPr>
          <w:rFonts w:hint="eastAsia" w:hAnsi="Cambria Math" w:cs="宋体"/>
          <w:szCs w:val="21"/>
        </w:rPr>
        <w:t>蒸煮黄饼</w:t>
      </w:r>
      <m:oMath>
        <m:r>
          <m:rPr/>
          <w:rPr>
            <w:rFonts w:hint="eastAsia" w:ascii="Cambria Math" w:hAnsi="Cambria Math" w:cs="宋体"/>
            <w:szCs w:val="21"/>
          </w:rPr>
          <m:t>→</m:t>
        </m:r>
      </m:oMath>
      <w:r>
        <w:rPr>
          <w:rFonts w:hint="eastAsia" w:hAnsi="Cambria Math" w:cs="宋体"/>
          <w:szCs w:val="21"/>
        </w:rPr>
        <w:t>洗涤</w:t>
      </w:r>
      <m:oMath>
        <m:r>
          <m:rPr/>
          <w:rPr>
            <w:rFonts w:hint="eastAsia" w:ascii="Cambria Math" w:hAnsi="Cambria Math" w:cs="宋体"/>
            <w:szCs w:val="21"/>
          </w:rPr>
          <m:t>→</m:t>
        </m:r>
      </m:oMath>
      <w:r>
        <w:rPr>
          <w:rFonts w:hint="eastAsia" w:hAnsi="Cambria Math" w:cs="宋体"/>
          <w:szCs w:val="21"/>
        </w:rPr>
        <w:t>漂白饼</w:t>
      </w:r>
      <m:oMath>
        <m:r>
          <m:rPr/>
          <w:rPr>
            <w:rFonts w:hint="eastAsia" w:ascii="Cambria Math" w:hAnsi="Cambria Math" w:cs="宋体"/>
            <w:szCs w:val="21"/>
          </w:rPr>
          <m:t>→</m:t>
        </m:r>
      </m:oMath>
      <w:r>
        <w:rPr>
          <w:rFonts w:hint="eastAsia" w:hAnsi="Cambria Math" w:cs="宋体"/>
          <w:szCs w:val="21"/>
        </w:rPr>
        <w:t>翻漂白饼</w:t>
      </w:r>
      <m:oMath>
        <m:r>
          <m:rPr/>
          <w:rPr>
            <w:rFonts w:hint="eastAsia" w:ascii="Cambria Math" w:hAnsi="Cambria Math" w:cs="宋体"/>
            <w:szCs w:val="21"/>
          </w:rPr>
          <m:t>→</m:t>
        </m:r>
      </m:oMath>
      <w:r>
        <w:rPr>
          <w:rFonts w:hint="eastAsia" w:hAnsi="Cambria Math" w:cs="宋体"/>
          <w:szCs w:val="21"/>
        </w:rPr>
        <w:t>捡白饼</w:t>
      </w:r>
      <m:oMath>
        <m:r>
          <m:rPr/>
          <w:rPr>
            <w:rFonts w:hint="eastAsia" w:ascii="Cambria Math" w:hAnsi="Cambria Math" w:cs="宋体"/>
            <w:szCs w:val="21"/>
          </w:rPr>
          <m:t>→</m:t>
        </m:r>
      </m:oMath>
      <w:r>
        <w:rPr>
          <w:rFonts w:hint="eastAsia" w:hAnsi="Cambria Math" w:cs="宋体"/>
          <w:szCs w:val="21"/>
        </w:rPr>
        <w:t>过白碱</w:t>
      </w:r>
      <m:oMath>
        <m:r>
          <m:rPr/>
          <w:rPr>
            <w:rFonts w:hint="eastAsia" w:ascii="Cambria Math" w:hAnsi="Cambria Math" w:cs="宋体"/>
            <w:szCs w:val="21"/>
          </w:rPr>
          <m:t>→</m:t>
        </m:r>
      </m:oMath>
      <w:r>
        <w:rPr>
          <w:rFonts w:hint="eastAsia" w:hAnsi="Cambria Math" w:cs="宋体"/>
          <w:szCs w:val="21"/>
        </w:rPr>
        <w:t>装锅</w:t>
      </w:r>
      <m:oMath>
        <m:r>
          <m:rPr/>
          <w:rPr>
            <w:rFonts w:hint="eastAsia" w:ascii="Cambria Math" w:hAnsi="Cambria Math" w:cs="宋体"/>
            <w:szCs w:val="21"/>
          </w:rPr>
          <m:t>→</m:t>
        </m:r>
      </m:oMath>
      <w:r>
        <w:rPr>
          <w:rFonts w:hint="eastAsia" w:hAnsi="Cambria Math" w:cs="宋体"/>
          <w:szCs w:val="21"/>
        </w:rPr>
        <w:t>蒸煮白饼</w:t>
      </w:r>
      <m:oMath>
        <m:r>
          <m:rPr/>
          <w:rPr>
            <w:rFonts w:hint="eastAsia" w:ascii="Cambria Math" w:hAnsi="Cambria Math" w:cs="宋体"/>
            <w:szCs w:val="21"/>
          </w:rPr>
          <m:t>→</m:t>
        </m:r>
      </m:oMath>
      <w:r>
        <w:rPr>
          <w:rFonts w:hint="eastAsia" w:hAnsi="Cambria Math" w:cs="宋体"/>
          <w:szCs w:val="21"/>
        </w:rPr>
        <w:t>出白料</w:t>
      </w:r>
      <m:oMath>
        <m:r>
          <m:rPr/>
          <w:rPr>
            <w:rFonts w:hint="eastAsia" w:ascii="Cambria Math" w:hAnsi="Cambria Math" w:cs="宋体"/>
            <w:szCs w:val="21"/>
          </w:rPr>
          <m:t>→</m:t>
        </m:r>
      </m:oMath>
      <w:r>
        <w:rPr>
          <w:rFonts w:hint="eastAsia" w:hAnsi="Cambria Math" w:cs="宋体"/>
          <w:szCs w:val="21"/>
        </w:rPr>
        <w:t>湿料</w:t>
      </w:r>
      <m:oMath>
        <m:r>
          <m:rPr/>
          <w:rPr>
            <w:rFonts w:hint="eastAsia" w:ascii="Cambria Math" w:hAnsi="Cambria Math" w:cs="宋体"/>
            <w:szCs w:val="21"/>
          </w:rPr>
          <m:t>→</m:t>
        </m:r>
      </m:oMath>
      <w:r>
        <w:rPr>
          <w:rFonts w:hint="eastAsia" w:hAnsi="Cambria Math" w:cs="宋体"/>
          <w:szCs w:val="21"/>
        </w:rPr>
        <w:t>舂纸</w:t>
      </w:r>
      <m:oMath>
        <m:r>
          <m:rPr/>
          <w:rPr>
            <w:rFonts w:hint="eastAsia" w:ascii="Cambria Math" w:hAnsi="Cambria Math" w:cs="宋体"/>
            <w:szCs w:val="21"/>
          </w:rPr>
          <m:t>→</m:t>
        </m:r>
      </m:oMath>
      <w:r>
        <w:rPr>
          <w:rFonts w:hint="eastAsia" w:hAnsi="Cambria Math" w:cs="宋体"/>
          <w:szCs w:val="21"/>
        </w:rPr>
        <w:t>踩料</w:t>
      </w:r>
      <m:oMath>
        <m:r>
          <m:rPr/>
          <w:rPr>
            <w:rFonts w:hint="eastAsia" w:ascii="Cambria Math" w:hAnsi="Cambria Math" w:cs="宋体"/>
            <w:szCs w:val="21"/>
          </w:rPr>
          <m:t>→</m:t>
        </m:r>
      </m:oMath>
      <w:r>
        <w:rPr>
          <w:rFonts w:hint="eastAsia" w:hAnsi="Cambria Math" w:cs="宋体"/>
          <w:szCs w:val="21"/>
        </w:rPr>
        <w:t>洗浆滤浆</w:t>
      </w:r>
      <m:oMath>
        <m:r>
          <m:rPr/>
          <w:rPr>
            <w:rFonts w:hint="eastAsia" w:ascii="Cambria Math" w:hAnsi="Cambria Math" w:cs="宋体"/>
            <w:szCs w:val="21"/>
          </w:rPr>
          <m:t>→</m:t>
        </m:r>
      </m:oMath>
      <w:r>
        <w:rPr>
          <w:rFonts w:hint="eastAsia" w:hAnsi="Cambria Math" w:cs="宋体"/>
          <w:szCs w:val="21"/>
        </w:rPr>
        <w:t>打槽</w:t>
      </w:r>
      <m:oMath>
        <m:r>
          <m:rPr/>
          <w:rPr>
            <w:rFonts w:hint="eastAsia" w:ascii="Cambria Math" w:hAnsi="Cambria Math" w:cs="宋体"/>
            <w:szCs w:val="21"/>
          </w:rPr>
          <m:t>→</m:t>
        </m:r>
      </m:oMath>
      <w:r>
        <w:rPr>
          <w:rFonts w:hint="eastAsia" w:hAnsi="Cambria Math" w:cs="宋体"/>
          <w:szCs w:val="21"/>
        </w:rPr>
        <w:t>压槽</w:t>
      </w:r>
      <m:oMath>
        <m:r>
          <m:rPr/>
          <w:rPr>
            <w:rFonts w:hint="eastAsia" w:ascii="Cambria Math" w:hAnsi="Cambria Math" w:cs="宋体"/>
            <w:szCs w:val="21"/>
          </w:rPr>
          <m:t>→</m:t>
        </m:r>
      </m:oMath>
      <w:r>
        <w:rPr>
          <w:rFonts w:hint="eastAsia" w:hAnsi="Cambria Math" w:cs="宋体"/>
          <w:szCs w:val="21"/>
        </w:rPr>
        <w:t>漂槽</w:t>
      </w:r>
      <m:oMath>
        <m:r>
          <m:rPr/>
          <w:rPr>
            <w:rFonts w:hint="eastAsia" w:ascii="Cambria Math" w:hAnsi="Cambria Math" w:cs="宋体"/>
            <w:szCs w:val="21"/>
          </w:rPr>
          <m:t>→</m:t>
        </m:r>
      </m:oMath>
      <w:r>
        <w:rPr>
          <w:rFonts w:hint="eastAsia" w:hAnsi="Cambria Math" w:cs="宋体"/>
          <w:szCs w:val="21"/>
        </w:rPr>
        <w:t>配纸药</w:t>
      </w:r>
    </w:p>
    <w:p w14:paraId="09A864D9">
      <w:pPr>
        <w:pStyle w:val="78"/>
        <w:numPr>
          <w:ilvl w:val="1"/>
          <w:numId w:val="0"/>
        </w:numPr>
        <w:spacing w:before="156" w:after="156"/>
        <w:rPr>
          <w:szCs w:val="21"/>
        </w:rPr>
      </w:pPr>
      <w:r>
        <w:rPr>
          <w:rFonts w:hint="eastAsia"/>
          <w:szCs w:val="21"/>
        </w:rPr>
        <w:t>B.2 制纸工艺流程</w:t>
      </w:r>
    </w:p>
    <w:p w14:paraId="7542927B">
      <w:pPr>
        <w:pStyle w:val="212"/>
        <w:numPr>
          <w:ilvl w:val="2"/>
          <w:numId w:val="0"/>
        </w:numPr>
        <w:ind w:firstLine="420" w:firstLineChars="200"/>
        <w:rPr>
          <w:rFonts w:hAnsi="宋体" w:cs="宋体"/>
          <w:szCs w:val="21"/>
        </w:rPr>
      </w:pPr>
      <w:r>
        <w:rPr>
          <w:rFonts w:hint="eastAsia" w:hAnsi="宋体" w:cs="宋体"/>
          <w:szCs w:val="21"/>
        </w:rPr>
        <w:t>匀槽</w:t>
      </w:r>
      <m:oMath>
        <m:r>
          <m:rPr/>
          <w:rPr>
            <w:rFonts w:hint="eastAsia" w:ascii="Cambria Math" w:hAnsi="Cambria Math" w:cs="宋体"/>
            <w:szCs w:val="21"/>
          </w:rPr>
          <m:t>→</m:t>
        </m:r>
      </m:oMath>
      <w:r>
        <w:rPr>
          <w:rFonts w:hint="eastAsia" w:hAnsi="宋体" w:cs="宋体"/>
          <w:szCs w:val="21"/>
        </w:rPr>
        <w:t>兑纸药</w:t>
      </w:r>
      <m:oMath>
        <m:r>
          <m:rPr/>
          <w:rPr>
            <w:rFonts w:hint="eastAsia" w:ascii="Cambria Math" w:hAnsi="Cambria Math" w:cs="宋体"/>
            <w:szCs w:val="21"/>
          </w:rPr>
          <m:t>→</m:t>
        </m:r>
      </m:oMath>
      <w:r>
        <w:rPr>
          <w:rFonts w:hint="eastAsia" w:hAnsi="宋体" w:cs="宋体"/>
          <w:szCs w:val="21"/>
        </w:rPr>
        <w:t>抄纸</w:t>
      </w:r>
      <m:oMath>
        <m:r>
          <m:rPr/>
          <w:rPr>
            <w:rFonts w:hint="eastAsia" w:ascii="Cambria Math" w:hAnsi="Cambria Math" w:cs="宋体"/>
            <w:szCs w:val="21"/>
          </w:rPr>
          <m:t>→</m:t>
        </m:r>
      </m:oMath>
      <w:r>
        <w:rPr>
          <w:rFonts w:hint="eastAsia" w:hAnsi="宋体" w:cs="宋体"/>
          <w:szCs w:val="21"/>
        </w:rPr>
        <w:t>榨纸</w:t>
      </w:r>
      <m:oMath>
        <m:r>
          <m:rPr/>
          <w:rPr>
            <w:rFonts w:hint="eastAsia" w:ascii="Cambria Math" w:hAnsi="Cambria Math" w:cs="宋体"/>
            <w:szCs w:val="21"/>
          </w:rPr>
          <m:t>→</m:t>
        </m:r>
      </m:oMath>
      <w:r>
        <w:rPr>
          <w:rFonts w:hint="eastAsia" w:hAnsi="宋体" w:cs="宋体"/>
          <w:szCs w:val="21"/>
        </w:rPr>
        <w:t>焙纸</w:t>
      </w:r>
      <m:oMath>
        <m:r>
          <m:rPr/>
          <w:rPr>
            <w:rFonts w:hint="eastAsia" w:ascii="Cambria Math" w:hAnsi="Cambria Math" w:cs="宋体"/>
            <w:szCs w:val="21"/>
          </w:rPr>
          <m:t>→</m:t>
        </m:r>
      </m:oMath>
      <w:r>
        <w:rPr>
          <w:rFonts w:hint="eastAsia" w:hAnsi="宋体" w:cs="宋体"/>
          <w:szCs w:val="21"/>
        </w:rPr>
        <w:t>打砣弦</w:t>
      </w:r>
      <m:oMath>
        <m:r>
          <m:rPr/>
          <w:rPr>
            <w:rFonts w:hint="eastAsia" w:ascii="Cambria Math" w:hAnsi="Cambria Math" w:cs="宋体"/>
            <w:szCs w:val="21"/>
          </w:rPr>
          <m:t>→</m:t>
        </m:r>
      </m:oMath>
      <w:r>
        <w:rPr>
          <w:rFonts w:hint="eastAsia" w:hAnsi="Cambria Math" w:cs="宋体"/>
          <w:szCs w:val="21"/>
        </w:rPr>
        <w:t>牵</w:t>
      </w:r>
      <w:r>
        <w:rPr>
          <w:rFonts w:hint="eastAsia" w:hAnsi="宋体" w:cs="宋体"/>
          <w:szCs w:val="21"/>
        </w:rPr>
        <w:t>砣</w:t>
      </w:r>
      <m:oMath>
        <m:r>
          <m:rPr/>
          <w:rPr>
            <w:rFonts w:hint="eastAsia" w:ascii="Cambria Math" w:hAnsi="Cambria Math" w:cs="宋体"/>
            <w:szCs w:val="21"/>
          </w:rPr>
          <m:t>→</m:t>
        </m:r>
      </m:oMath>
      <w:r>
        <w:rPr>
          <w:rFonts w:hint="eastAsia" w:hAnsi="Cambria Math" w:cs="宋体"/>
          <w:szCs w:val="21"/>
        </w:rPr>
        <w:t>上焙</w:t>
      </w:r>
      <m:oMath>
        <m:r>
          <m:rPr/>
          <w:rPr>
            <w:rFonts w:hint="eastAsia" w:ascii="Cambria Math" w:hAnsi="Cambria Math" w:cs="宋体"/>
            <w:szCs w:val="21"/>
          </w:rPr>
          <m:t>→</m:t>
        </m:r>
      </m:oMath>
      <w:r>
        <w:rPr>
          <w:rFonts w:hint="eastAsia" w:hAnsi="Cambria Math" w:cs="宋体"/>
          <w:szCs w:val="21"/>
        </w:rPr>
        <w:t>揭纸</w:t>
      </w:r>
      <m:oMath>
        <m:r>
          <m:rPr/>
          <w:rPr>
            <w:rFonts w:hint="eastAsia" w:ascii="Cambria Math" w:hAnsi="Cambria Math" w:cs="宋体"/>
            <w:szCs w:val="21"/>
          </w:rPr>
          <m:t>→</m:t>
        </m:r>
      </m:oMath>
      <w:r>
        <w:rPr>
          <w:rFonts w:hint="eastAsia" w:hAnsi="Cambria Math" w:cs="宋体"/>
          <w:szCs w:val="21"/>
        </w:rPr>
        <w:t>整纸</w:t>
      </w:r>
      <m:oMath>
        <m:r>
          <m:rPr/>
          <w:rPr>
            <w:rFonts w:hint="eastAsia" w:ascii="Cambria Math" w:hAnsi="Cambria Math" w:cs="宋体"/>
            <w:szCs w:val="21"/>
          </w:rPr>
          <m:t>→</m:t>
        </m:r>
      </m:oMath>
      <w:r>
        <w:rPr>
          <w:rFonts w:hint="eastAsia" w:hAnsi="Cambria Math" w:cs="宋体"/>
          <w:szCs w:val="21"/>
        </w:rPr>
        <w:t>配纸分类</w:t>
      </w:r>
      <m:oMath>
        <m:r>
          <m:rPr/>
          <w:rPr>
            <w:rFonts w:hint="eastAsia" w:ascii="Cambria Math" w:hAnsi="Cambria Math" w:cs="宋体"/>
            <w:szCs w:val="21"/>
          </w:rPr>
          <m:t>→</m:t>
        </m:r>
      </m:oMath>
      <w:r>
        <w:rPr>
          <w:rFonts w:hint="eastAsia" w:hAnsi="Cambria Math" w:cs="宋体"/>
          <w:szCs w:val="21"/>
        </w:rPr>
        <w:t>切边</w:t>
      </w:r>
      <m:oMath>
        <m:r>
          <m:rPr/>
          <w:rPr>
            <w:rFonts w:hint="eastAsia" w:ascii="Cambria Math" w:hAnsi="Cambria Math" w:cs="宋体"/>
            <w:szCs w:val="21"/>
          </w:rPr>
          <m:t>→</m:t>
        </m:r>
      </m:oMath>
      <w:r>
        <w:rPr>
          <w:rFonts w:hint="eastAsia" w:hAnsi="Cambria Math" w:cs="宋体"/>
          <w:szCs w:val="21"/>
        </w:rPr>
        <w:t>榨纸打捆</w:t>
      </w:r>
      <m:oMath>
        <m:r>
          <m:rPr/>
          <w:rPr>
            <w:rFonts w:hint="eastAsia" w:ascii="Cambria Math" w:hAnsi="Cambria Math" w:cs="宋体"/>
            <w:szCs w:val="21"/>
          </w:rPr>
          <m:t>→</m:t>
        </m:r>
      </m:oMath>
      <w:r>
        <w:rPr>
          <w:rFonts w:hint="eastAsia" w:hAnsi="Cambria Math" w:cs="宋体"/>
          <w:szCs w:val="21"/>
        </w:rPr>
        <w:t>打印</w:t>
      </w:r>
      <m:oMath>
        <m:r>
          <m:rPr/>
          <w:rPr>
            <w:rFonts w:hint="eastAsia" w:ascii="Cambria Math" w:hAnsi="Cambria Math" w:cs="宋体"/>
            <w:szCs w:val="21"/>
          </w:rPr>
          <m:t>→</m:t>
        </m:r>
      </m:oMath>
      <w:r>
        <w:rPr>
          <w:rFonts w:hint="eastAsia" w:hAnsi="Cambria Math" w:cs="宋体"/>
          <w:szCs w:val="21"/>
        </w:rPr>
        <w:t>装箱入库</w:t>
      </w:r>
    </w:p>
    <w:bookmarkEnd w:id="55"/>
    <w:p w14:paraId="316E7637">
      <w:pPr>
        <w:pStyle w:val="56"/>
        <w:ind w:firstLine="0" w:firstLineChars="0"/>
        <w:jc w:val="center"/>
        <w:rPr>
          <w:szCs w:val="21"/>
        </w:rPr>
      </w:pPr>
      <w:bookmarkStart w:id="56" w:name="BookMark8"/>
    </w:p>
    <w:p w14:paraId="5529AABC">
      <w:pPr>
        <w:pStyle w:val="56"/>
        <w:ind w:firstLine="0" w:firstLineChars="0"/>
        <w:jc w:val="center"/>
        <w:rPr>
          <w:sz w:val="36"/>
          <w:szCs w:val="32"/>
        </w:rPr>
      </w:pPr>
      <w:r>
        <w:rPr>
          <w:sz w:val="36"/>
          <w:szCs w:val="32"/>
        </w:rPr>
        <w:drawing>
          <wp:inline distT="0" distB="0" distL="0" distR="0">
            <wp:extent cx="1485900" cy="317500"/>
            <wp:effectExtent l="0" t="0" r="0" b="6350"/>
            <wp:docPr id="1093729969" name="图片 1"/>
            <wp:cNvGraphicFramePr/>
            <a:graphic xmlns:a="http://schemas.openxmlformats.org/drawingml/2006/main">
              <a:graphicData uri="http://schemas.openxmlformats.org/drawingml/2006/picture">
                <pic:pic xmlns:pic="http://schemas.openxmlformats.org/drawingml/2006/picture">
                  <pic:nvPicPr>
                    <pic:cNvPr id="1093729969" name="图片 1"/>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6"/>
    </w:p>
    <w:sectPr>
      <w:footerReference r:id="rId13" w:type="default"/>
      <w:pgSz w:w="11906" w:h="16838"/>
      <w:pgMar w:top="1928" w:right="1134" w:bottom="1134" w:left="1134" w:header="1418" w:footer="1134" w:gutter="284"/>
      <w:pgNumType w:fmt="decimal"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544E54">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EF955">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2C228F">
    <w:pPr>
      <w:pStyle w:val="52"/>
    </w:pPr>
    <w:r>
      <w:fldChar w:fldCharType="begin"/>
    </w:r>
    <w:r>
      <w:instrText xml:space="preserve">PAGE   \* MERGEFORMAT</w:instrText>
    </w:r>
    <w:r>
      <w:fldChar w:fldCharType="separate"/>
    </w:r>
    <w:r>
      <w:rPr>
        <w:lang w:val="zh-CN"/>
      </w:rPr>
      <w:t>9</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C694B">
    <w:pPr>
      <w:pStyle w:val="52"/>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4ACB55">
                          <w:pPr>
                            <w:pStyle w:val="52"/>
                          </w:pPr>
                          <w:r>
                            <w:fldChar w:fldCharType="begin"/>
                          </w:r>
                          <w:r>
                            <w:instrText xml:space="preserve">PAGE   \* MERGEFORMAT</w:instrText>
                          </w:r>
                          <w:r>
                            <w:fldChar w:fldCharType="separate"/>
                          </w:r>
                          <w:r>
                            <w:rPr>
                              <w:lang w:val="zh-CN"/>
                            </w:rP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C4ACB55">
                    <w:pPr>
                      <w:pStyle w:val="52"/>
                    </w:pPr>
                    <w:r>
                      <w:fldChar w:fldCharType="begin"/>
                    </w:r>
                    <w:r>
                      <w:instrText xml:space="preserve">PAGE   \* MERGEFORMAT</w:instrText>
                    </w:r>
                    <w:r>
                      <w:fldChar w:fldCharType="separate"/>
                    </w:r>
                    <w:r>
                      <w:rPr>
                        <w:lang w:val="zh-CN"/>
                      </w:rPr>
                      <w:t>9</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3635DB">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A0E98">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5D6002">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7A72E">
    <w:pPr>
      <w:pStyle w:val="61"/>
    </w:pPr>
    <w:r>
      <w:fldChar w:fldCharType="begin"/>
    </w:r>
    <w:r>
      <w:instrText xml:space="preserve"> STYLEREF  标准文件_文件编号  \* MERGEFORMAT </w:instrText>
    </w:r>
    <w:r>
      <w:fldChar w:fldCharType="separate"/>
    </w:r>
    <w:r>
      <w:t>DB 36/T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F3D6B">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36/T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iMjFhNjIyYzE0ZWNjMWI5NjJlODEyYTM4NmRiY2EifQ=="/>
  </w:docVars>
  <w:rsids>
    <w:rsidRoot w:val="004A3F5F"/>
    <w:rsid w:val="0000040A"/>
    <w:rsid w:val="00000A94"/>
    <w:rsid w:val="00001972"/>
    <w:rsid w:val="00001D9A"/>
    <w:rsid w:val="00007B3A"/>
    <w:rsid w:val="000107E0"/>
    <w:rsid w:val="00011FDE"/>
    <w:rsid w:val="00012FFD"/>
    <w:rsid w:val="00014162"/>
    <w:rsid w:val="00014340"/>
    <w:rsid w:val="00016A9C"/>
    <w:rsid w:val="00022184"/>
    <w:rsid w:val="00022762"/>
    <w:rsid w:val="00022E59"/>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2ACF"/>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5BE9"/>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1E21"/>
    <w:rsid w:val="00243540"/>
    <w:rsid w:val="0024497B"/>
    <w:rsid w:val="0024515B"/>
    <w:rsid w:val="00246021"/>
    <w:rsid w:val="0024666E"/>
    <w:rsid w:val="00246E2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10D"/>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E6EFF"/>
    <w:rsid w:val="003F0841"/>
    <w:rsid w:val="003F23D3"/>
    <w:rsid w:val="003F3F08"/>
    <w:rsid w:val="003F49F1"/>
    <w:rsid w:val="003F6272"/>
    <w:rsid w:val="00400E72"/>
    <w:rsid w:val="00401400"/>
    <w:rsid w:val="00404869"/>
    <w:rsid w:val="00405884"/>
    <w:rsid w:val="00407D39"/>
    <w:rsid w:val="0041477A"/>
    <w:rsid w:val="00416146"/>
    <w:rsid w:val="004167A3"/>
    <w:rsid w:val="00432DAA"/>
    <w:rsid w:val="00434305"/>
    <w:rsid w:val="00435DF7"/>
    <w:rsid w:val="0044083F"/>
    <w:rsid w:val="00441AE7"/>
    <w:rsid w:val="00445574"/>
    <w:rsid w:val="004467FB"/>
    <w:rsid w:val="00452D6B"/>
    <w:rsid w:val="00454484"/>
    <w:rsid w:val="0045517B"/>
    <w:rsid w:val="00457333"/>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0B57"/>
    <w:rsid w:val="00492F02"/>
    <w:rsid w:val="004939AE"/>
    <w:rsid w:val="004A12DF"/>
    <w:rsid w:val="004A17E6"/>
    <w:rsid w:val="004A1BA8"/>
    <w:rsid w:val="004A3F5F"/>
    <w:rsid w:val="004A4B57"/>
    <w:rsid w:val="004A63FA"/>
    <w:rsid w:val="004B0272"/>
    <w:rsid w:val="004B2701"/>
    <w:rsid w:val="004B2E1B"/>
    <w:rsid w:val="004B3AA8"/>
    <w:rsid w:val="004B3E93"/>
    <w:rsid w:val="004C0322"/>
    <w:rsid w:val="004C1FBC"/>
    <w:rsid w:val="004C3F1D"/>
    <w:rsid w:val="004C458D"/>
    <w:rsid w:val="004C7556"/>
    <w:rsid w:val="004C7E8B"/>
    <w:rsid w:val="004C7E9D"/>
    <w:rsid w:val="004C7F67"/>
    <w:rsid w:val="004D076D"/>
    <w:rsid w:val="004D0EF1"/>
    <w:rsid w:val="004D2253"/>
    <w:rsid w:val="004D4406"/>
    <w:rsid w:val="004D7C42"/>
    <w:rsid w:val="004E0465"/>
    <w:rsid w:val="004E0863"/>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B47"/>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57"/>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56E"/>
    <w:rsid w:val="00752B4D"/>
    <w:rsid w:val="00755402"/>
    <w:rsid w:val="00756B26"/>
    <w:rsid w:val="00756EDF"/>
    <w:rsid w:val="007600E3"/>
    <w:rsid w:val="00764722"/>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383"/>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2F1"/>
    <w:rsid w:val="008104F5"/>
    <w:rsid w:val="00811072"/>
    <w:rsid w:val="00811369"/>
    <w:rsid w:val="00814F65"/>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CF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7DF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44C8"/>
    <w:rsid w:val="00945180"/>
    <w:rsid w:val="00945428"/>
    <w:rsid w:val="0094607B"/>
    <w:rsid w:val="00951959"/>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4E4C"/>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653E"/>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275F"/>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218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60CC"/>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483"/>
    <w:rsid w:val="00CF155A"/>
    <w:rsid w:val="00CF2947"/>
    <w:rsid w:val="00CF686F"/>
    <w:rsid w:val="00CF6E60"/>
    <w:rsid w:val="00CF7BCA"/>
    <w:rsid w:val="00D008FD"/>
    <w:rsid w:val="00D0321C"/>
    <w:rsid w:val="00D035EC"/>
    <w:rsid w:val="00D06AB1"/>
    <w:rsid w:val="00D072ED"/>
    <w:rsid w:val="00D07A16"/>
    <w:rsid w:val="00D1067E"/>
    <w:rsid w:val="00D106D7"/>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40E5"/>
    <w:rsid w:val="00E2552F"/>
    <w:rsid w:val="00E26A04"/>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36241"/>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251"/>
    <w:rsid w:val="00F93A8A"/>
    <w:rsid w:val="00F95248"/>
    <w:rsid w:val="00F956A9"/>
    <w:rsid w:val="00F963ED"/>
    <w:rsid w:val="00F966CF"/>
    <w:rsid w:val="00F96CAE"/>
    <w:rsid w:val="00F97C99"/>
    <w:rsid w:val="00FA4DAC"/>
    <w:rsid w:val="00FA662D"/>
    <w:rsid w:val="00FA73B1"/>
    <w:rsid w:val="00FA7560"/>
    <w:rsid w:val="00FB0CB9"/>
    <w:rsid w:val="00FB231D"/>
    <w:rsid w:val="00FB4547"/>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260E98"/>
    <w:rsid w:val="0156177E"/>
    <w:rsid w:val="016519C1"/>
    <w:rsid w:val="01722330"/>
    <w:rsid w:val="017B2F92"/>
    <w:rsid w:val="018A1427"/>
    <w:rsid w:val="018F6A3E"/>
    <w:rsid w:val="01C56903"/>
    <w:rsid w:val="01FB40D3"/>
    <w:rsid w:val="020E5E92"/>
    <w:rsid w:val="021B4775"/>
    <w:rsid w:val="02337D11"/>
    <w:rsid w:val="02441F1E"/>
    <w:rsid w:val="0256755B"/>
    <w:rsid w:val="029F7154"/>
    <w:rsid w:val="02C24BF1"/>
    <w:rsid w:val="02D36DFE"/>
    <w:rsid w:val="02D50DC8"/>
    <w:rsid w:val="02DA4630"/>
    <w:rsid w:val="032D650E"/>
    <w:rsid w:val="035166A0"/>
    <w:rsid w:val="03525F75"/>
    <w:rsid w:val="03541CED"/>
    <w:rsid w:val="03822CFE"/>
    <w:rsid w:val="038A7E04"/>
    <w:rsid w:val="039D18E6"/>
    <w:rsid w:val="03DE64EE"/>
    <w:rsid w:val="04035EBC"/>
    <w:rsid w:val="0414147C"/>
    <w:rsid w:val="046C12B8"/>
    <w:rsid w:val="04781A0B"/>
    <w:rsid w:val="047A5783"/>
    <w:rsid w:val="05157BA2"/>
    <w:rsid w:val="05373674"/>
    <w:rsid w:val="05393890"/>
    <w:rsid w:val="05852631"/>
    <w:rsid w:val="05A76A4C"/>
    <w:rsid w:val="05B20F4D"/>
    <w:rsid w:val="05E530D0"/>
    <w:rsid w:val="05FE23E4"/>
    <w:rsid w:val="0605043B"/>
    <w:rsid w:val="061D286A"/>
    <w:rsid w:val="06420522"/>
    <w:rsid w:val="06473D8B"/>
    <w:rsid w:val="06A64F55"/>
    <w:rsid w:val="06A905A2"/>
    <w:rsid w:val="06B07B82"/>
    <w:rsid w:val="06B64A6C"/>
    <w:rsid w:val="06B807E5"/>
    <w:rsid w:val="06C47189"/>
    <w:rsid w:val="06E72E78"/>
    <w:rsid w:val="06F757B1"/>
    <w:rsid w:val="07195727"/>
    <w:rsid w:val="0752675F"/>
    <w:rsid w:val="075C73C2"/>
    <w:rsid w:val="07762B7A"/>
    <w:rsid w:val="07990616"/>
    <w:rsid w:val="07A80859"/>
    <w:rsid w:val="07F4584C"/>
    <w:rsid w:val="080F62AD"/>
    <w:rsid w:val="08C6543B"/>
    <w:rsid w:val="090310C5"/>
    <w:rsid w:val="09212671"/>
    <w:rsid w:val="093700E7"/>
    <w:rsid w:val="098826F0"/>
    <w:rsid w:val="099866AB"/>
    <w:rsid w:val="09CD45A7"/>
    <w:rsid w:val="09D05E45"/>
    <w:rsid w:val="09D65B51"/>
    <w:rsid w:val="0A0A57FB"/>
    <w:rsid w:val="0A1C108A"/>
    <w:rsid w:val="0A2C751F"/>
    <w:rsid w:val="0A36214C"/>
    <w:rsid w:val="0A73514E"/>
    <w:rsid w:val="0A7B4003"/>
    <w:rsid w:val="0A8235E3"/>
    <w:rsid w:val="0A8D3D36"/>
    <w:rsid w:val="0AA736ED"/>
    <w:rsid w:val="0AAB0D8C"/>
    <w:rsid w:val="0AB35FA2"/>
    <w:rsid w:val="0ABD286D"/>
    <w:rsid w:val="0AC534D0"/>
    <w:rsid w:val="0AEE22FC"/>
    <w:rsid w:val="0AF85654"/>
    <w:rsid w:val="0AFF2E86"/>
    <w:rsid w:val="0B310B66"/>
    <w:rsid w:val="0B6947A3"/>
    <w:rsid w:val="0B896BF3"/>
    <w:rsid w:val="0BBD163C"/>
    <w:rsid w:val="0BDE6F3F"/>
    <w:rsid w:val="0BE45BD8"/>
    <w:rsid w:val="0C1F4E62"/>
    <w:rsid w:val="0C395F24"/>
    <w:rsid w:val="0C3C77C2"/>
    <w:rsid w:val="0C607954"/>
    <w:rsid w:val="0C854C73"/>
    <w:rsid w:val="0C9E222B"/>
    <w:rsid w:val="0CAD246E"/>
    <w:rsid w:val="0CCC4FEA"/>
    <w:rsid w:val="0CEA5470"/>
    <w:rsid w:val="0D0F4ED6"/>
    <w:rsid w:val="0D4234FE"/>
    <w:rsid w:val="0D576BF1"/>
    <w:rsid w:val="0D5D0F5E"/>
    <w:rsid w:val="0D662D48"/>
    <w:rsid w:val="0D8853B5"/>
    <w:rsid w:val="0D8D29CB"/>
    <w:rsid w:val="0D9D24E2"/>
    <w:rsid w:val="0DB5782C"/>
    <w:rsid w:val="0DCF4D92"/>
    <w:rsid w:val="0DE85E53"/>
    <w:rsid w:val="0E0662D9"/>
    <w:rsid w:val="0E172295"/>
    <w:rsid w:val="0E1A3B33"/>
    <w:rsid w:val="0E1C78AB"/>
    <w:rsid w:val="0EB775D4"/>
    <w:rsid w:val="0EC95C85"/>
    <w:rsid w:val="0EF44384"/>
    <w:rsid w:val="0F0740B7"/>
    <w:rsid w:val="0F5C08A7"/>
    <w:rsid w:val="0F8B2F3A"/>
    <w:rsid w:val="0FD06B9F"/>
    <w:rsid w:val="0FD7617F"/>
    <w:rsid w:val="0FE443F8"/>
    <w:rsid w:val="0FE663C2"/>
    <w:rsid w:val="103C4234"/>
    <w:rsid w:val="10594DE6"/>
    <w:rsid w:val="1065378B"/>
    <w:rsid w:val="1077526D"/>
    <w:rsid w:val="10993435"/>
    <w:rsid w:val="10A047C3"/>
    <w:rsid w:val="10DD5A17"/>
    <w:rsid w:val="10F75FB0"/>
    <w:rsid w:val="10FB7C4C"/>
    <w:rsid w:val="114F1D45"/>
    <w:rsid w:val="116A6B7F"/>
    <w:rsid w:val="116F23E8"/>
    <w:rsid w:val="11D230A2"/>
    <w:rsid w:val="11FA7F03"/>
    <w:rsid w:val="128E689D"/>
    <w:rsid w:val="12C10A21"/>
    <w:rsid w:val="12D22C2E"/>
    <w:rsid w:val="12E60488"/>
    <w:rsid w:val="130F5C30"/>
    <w:rsid w:val="1312127D"/>
    <w:rsid w:val="1340228E"/>
    <w:rsid w:val="13547AE7"/>
    <w:rsid w:val="138403CC"/>
    <w:rsid w:val="13CE5AEB"/>
    <w:rsid w:val="13E26EA1"/>
    <w:rsid w:val="142B6A9A"/>
    <w:rsid w:val="143D057B"/>
    <w:rsid w:val="144E2788"/>
    <w:rsid w:val="14CB5B87"/>
    <w:rsid w:val="14E05AD6"/>
    <w:rsid w:val="14E37374"/>
    <w:rsid w:val="14E60C13"/>
    <w:rsid w:val="14F41582"/>
    <w:rsid w:val="15035F75"/>
    <w:rsid w:val="15063063"/>
    <w:rsid w:val="152C0D1B"/>
    <w:rsid w:val="15593193"/>
    <w:rsid w:val="15712BD2"/>
    <w:rsid w:val="15DB004C"/>
    <w:rsid w:val="15F2400F"/>
    <w:rsid w:val="16096967"/>
    <w:rsid w:val="160A26DF"/>
    <w:rsid w:val="16117F11"/>
    <w:rsid w:val="162E75CC"/>
    <w:rsid w:val="16421E79"/>
    <w:rsid w:val="16443E43"/>
    <w:rsid w:val="16557DFE"/>
    <w:rsid w:val="16777D74"/>
    <w:rsid w:val="16E3540A"/>
    <w:rsid w:val="177B1AE6"/>
    <w:rsid w:val="1796247C"/>
    <w:rsid w:val="179E7583"/>
    <w:rsid w:val="17C36FE9"/>
    <w:rsid w:val="17CC40F0"/>
    <w:rsid w:val="17CD1C16"/>
    <w:rsid w:val="180E64B6"/>
    <w:rsid w:val="181635BD"/>
    <w:rsid w:val="18300B23"/>
    <w:rsid w:val="188D1AD1"/>
    <w:rsid w:val="189D783A"/>
    <w:rsid w:val="18DA45EA"/>
    <w:rsid w:val="18F27B86"/>
    <w:rsid w:val="18F57676"/>
    <w:rsid w:val="18FA6A3B"/>
    <w:rsid w:val="1942193C"/>
    <w:rsid w:val="194F6D87"/>
    <w:rsid w:val="198A4263"/>
    <w:rsid w:val="19D43730"/>
    <w:rsid w:val="19DB061A"/>
    <w:rsid w:val="19E33D6F"/>
    <w:rsid w:val="1A085187"/>
    <w:rsid w:val="1A27385F"/>
    <w:rsid w:val="1A862C7C"/>
    <w:rsid w:val="1ABC48F0"/>
    <w:rsid w:val="1ADF413A"/>
    <w:rsid w:val="1B03607B"/>
    <w:rsid w:val="1B1262BE"/>
    <w:rsid w:val="1B4E306E"/>
    <w:rsid w:val="1B6F54BE"/>
    <w:rsid w:val="1B8076CB"/>
    <w:rsid w:val="1B972C67"/>
    <w:rsid w:val="1BB62A4B"/>
    <w:rsid w:val="1BF222B5"/>
    <w:rsid w:val="1BF27E9D"/>
    <w:rsid w:val="1BFC2ACA"/>
    <w:rsid w:val="1C0A51E7"/>
    <w:rsid w:val="1C0C0F5F"/>
    <w:rsid w:val="1C3D380E"/>
    <w:rsid w:val="1C485D0F"/>
    <w:rsid w:val="1C9A47BD"/>
    <w:rsid w:val="1CA23671"/>
    <w:rsid w:val="1CA67605"/>
    <w:rsid w:val="1CA70C88"/>
    <w:rsid w:val="1CC57360"/>
    <w:rsid w:val="1CD777BF"/>
    <w:rsid w:val="1D1207F7"/>
    <w:rsid w:val="1D291FE4"/>
    <w:rsid w:val="1D57445C"/>
    <w:rsid w:val="1D5C4168"/>
    <w:rsid w:val="1D5F1562"/>
    <w:rsid w:val="1D6B43AB"/>
    <w:rsid w:val="1D7018EE"/>
    <w:rsid w:val="1D7E7C3A"/>
    <w:rsid w:val="1D84721B"/>
    <w:rsid w:val="1D90796E"/>
    <w:rsid w:val="1DA67191"/>
    <w:rsid w:val="1E71779F"/>
    <w:rsid w:val="1E8C45D9"/>
    <w:rsid w:val="1E8E0351"/>
    <w:rsid w:val="1EB7156C"/>
    <w:rsid w:val="1EBD4792"/>
    <w:rsid w:val="1EDA17E8"/>
    <w:rsid w:val="1F152820"/>
    <w:rsid w:val="1F170346"/>
    <w:rsid w:val="1F2B2044"/>
    <w:rsid w:val="1F3F33F9"/>
    <w:rsid w:val="1F572E39"/>
    <w:rsid w:val="1F5E5F75"/>
    <w:rsid w:val="1F6A2B6C"/>
    <w:rsid w:val="1F811C64"/>
    <w:rsid w:val="1F8452B0"/>
    <w:rsid w:val="1FE3647B"/>
    <w:rsid w:val="1FE43FA1"/>
    <w:rsid w:val="200A3A07"/>
    <w:rsid w:val="201C198C"/>
    <w:rsid w:val="204C4020"/>
    <w:rsid w:val="206A6B9C"/>
    <w:rsid w:val="2080016D"/>
    <w:rsid w:val="20875058"/>
    <w:rsid w:val="20F16975"/>
    <w:rsid w:val="2129610F"/>
    <w:rsid w:val="21463165"/>
    <w:rsid w:val="2149055F"/>
    <w:rsid w:val="215055AD"/>
    <w:rsid w:val="217A2E0F"/>
    <w:rsid w:val="218B6DCA"/>
    <w:rsid w:val="219F63D1"/>
    <w:rsid w:val="21A34113"/>
    <w:rsid w:val="21B26104"/>
    <w:rsid w:val="21C422DC"/>
    <w:rsid w:val="21C67E02"/>
    <w:rsid w:val="21CB366A"/>
    <w:rsid w:val="21D7200F"/>
    <w:rsid w:val="21DB7773"/>
    <w:rsid w:val="22034BB2"/>
    <w:rsid w:val="223B07F0"/>
    <w:rsid w:val="22401962"/>
    <w:rsid w:val="226522C7"/>
    <w:rsid w:val="22724320"/>
    <w:rsid w:val="22BF31CF"/>
    <w:rsid w:val="22C75BE0"/>
    <w:rsid w:val="22E20C6B"/>
    <w:rsid w:val="22F4274D"/>
    <w:rsid w:val="23155EBA"/>
    <w:rsid w:val="231921B3"/>
    <w:rsid w:val="231A7995"/>
    <w:rsid w:val="2338088B"/>
    <w:rsid w:val="23515DF1"/>
    <w:rsid w:val="235226E9"/>
    <w:rsid w:val="235A4CA6"/>
    <w:rsid w:val="236B2A0F"/>
    <w:rsid w:val="23A92664"/>
    <w:rsid w:val="240864B0"/>
    <w:rsid w:val="240E783E"/>
    <w:rsid w:val="2419690F"/>
    <w:rsid w:val="243A0633"/>
    <w:rsid w:val="243B3CC4"/>
    <w:rsid w:val="244B605A"/>
    <w:rsid w:val="2455037A"/>
    <w:rsid w:val="247753E3"/>
    <w:rsid w:val="249E0BC2"/>
    <w:rsid w:val="24E72569"/>
    <w:rsid w:val="24F46A34"/>
    <w:rsid w:val="24FB4266"/>
    <w:rsid w:val="25072C0B"/>
    <w:rsid w:val="257A518B"/>
    <w:rsid w:val="258458FE"/>
    <w:rsid w:val="25875AFA"/>
    <w:rsid w:val="25B12B77"/>
    <w:rsid w:val="260D24A3"/>
    <w:rsid w:val="2611248D"/>
    <w:rsid w:val="261A4BC0"/>
    <w:rsid w:val="263317DE"/>
    <w:rsid w:val="26AF5308"/>
    <w:rsid w:val="26C64400"/>
    <w:rsid w:val="26CB1A16"/>
    <w:rsid w:val="26D134D1"/>
    <w:rsid w:val="26EF7DFB"/>
    <w:rsid w:val="276A122F"/>
    <w:rsid w:val="27814EF7"/>
    <w:rsid w:val="278B7B24"/>
    <w:rsid w:val="278C564A"/>
    <w:rsid w:val="279F35CF"/>
    <w:rsid w:val="27EA65FA"/>
    <w:rsid w:val="27F531EF"/>
    <w:rsid w:val="28164F13"/>
    <w:rsid w:val="28247630"/>
    <w:rsid w:val="282C4737"/>
    <w:rsid w:val="28441A80"/>
    <w:rsid w:val="2859377E"/>
    <w:rsid w:val="28C36E49"/>
    <w:rsid w:val="28E15521"/>
    <w:rsid w:val="29087E28"/>
    <w:rsid w:val="29253660"/>
    <w:rsid w:val="29257B04"/>
    <w:rsid w:val="29325D7D"/>
    <w:rsid w:val="294C22A1"/>
    <w:rsid w:val="296320C8"/>
    <w:rsid w:val="2987431B"/>
    <w:rsid w:val="29F15C38"/>
    <w:rsid w:val="29FB0865"/>
    <w:rsid w:val="29FD638B"/>
    <w:rsid w:val="2A181417"/>
    <w:rsid w:val="2A4144C9"/>
    <w:rsid w:val="2A481CFC"/>
    <w:rsid w:val="2A720B27"/>
    <w:rsid w:val="2A783C63"/>
    <w:rsid w:val="2A9036A3"/>
    <w:rsid w:val="2AB033FD"/>
    <w:rsid w:val="2AB54EB7"/>
    <w:rsid w:val="2AFC6642"/>
    <w:rsid w:val="2B381D70"/>
    <w:rsid w:val="2B6C1A1A"/>
    <w:rsid w:val="2B6E08A1"/>
    <w:rsid w:val="2B7803BF"/>
    <w:rsid w:val="2C484235"/>
    <w:rsid w:val="2C815051"/>
    <w:rsid w:val="2CA70830"/>
    <w:rsid w:val="2CA927FA"/>
    <w:rsid w:val="2CD05FD9"/>
    <w:rsid w:val="2D3E2F42"/>
    <w:rsid w:val="2D5C51D7"/>
    <w:rsid w:val="2D8F379E"/>
    <w:rsid w:val="2DA059AB"/>
    <w:rsid w:val="2DC518B5"/>
    <w:rsid w:val="2E04418C"/>
    <w:rsid w:val="2E053A60"/>
    <w:rsid w:val="2E13617D"/>
    <w:rsid w:val="2E3C1B78"/>
    <w:rsid w:val="2E41718E"/>
    <w:rsid w:val="2E586286"/>
    <w:rsid w:val="2E620EB2"/>
    <w:rsid w:val="2E717347"/>
    <w:rsid w:val="2E7A26A0"/>
    <w:rsid w:val="2E8E614B"/>
    <w:rsid w:val="2EC1207D"/>
    <w:rsid w:val="2EFF4953"/>
    <w:rsid w:val="2F522CD5"/>
    <w:rsid w:val="2F5C1DA5"/>
    <w:rsid w:val="2F713AA3"/>
    <w:rsid w:val="30142680"/>
    <w:rsid w:val="302503E9"/>
    <w:rsid w:val="304E16EE"/>
    <w:rsid w:val="30590093"/>
    <w:rsid w:val="305E56A9"/>
    <w:rsid w:val="306B6744"/>
    <w:rsid w:val="3078676B"/>
    <w:rsid w:val="30915A7F"/>
    <w:rsid w:val="309C68FD"/>
    <w:rsid w:val="30B023A9"/>
    <w:rsid w:val="30D77936"/>
    <w:rsid w:val="30D8545C"/>
    <w:rsid w:val="311A3CC6"/>
    <w:rsid w:val="31462D0D"/>
    <w:rsid w:val="314D5E4A"/>
    <w:rsid w:val="31556AAC"/>
    <w:rsid w:val="31572824"/>
    <w:rsid w:val="31615451"/>
    <w:rsid w:val="3186310A"/>
    <w:rsid w:val="31D200FD"/>
    <w:rsid w:val="320329AC"/>
    <w:rsid w:val="32110C25"/>
    <w:rsid w:val="321150C9"/>
    <w:rsid w:val="32384404"/>
    <w:rsid w:val="32EB3B6C"/>
    <w:rsid w:val="33122EA7"/>
    <w:rsid w:val="33296443"/>
    <w:rsid w:val="33380434"/>
    <w:rsid w:val="336F654B"/>
    <w:rsid w:val="33E67E90"/>
    <w:rsid w:val="340F73E6"/>
    <w:rsid w:val="3442156A"/>
    <w:rsid w:val="346C15A2"/>
    <w:rsid w:val="349A75F8"/>
    <w:rsid w:val="34AF4725"/>
    <w:rsid w:val="34B87A7E"/>
    <w:rsid w:val="34DD43B0"/>
    <w:rsid w:val="34FA62E8"/>
    <w:rsid w:val="350C3926"/>
    <w:rsid w:val="35411821"/>
    <w:rsid w:val="355552CD"/>
    <w:rsid w:val="3566572C"/>
    <w:rsid w:val="35674DDC"/>
    <w:rsid w:val="35D02BA5"/>
    <w:rsid w:val="36017203"/>
    <w:rsid w:val="36462E68"/>
    <w:rsid w:val="368A544A"/>
    <w:rsid w:val="36A738F6"/>
    <w:rsid w:val="36B9188B"/>
    <w:rsid w:val="36F56D67"/>
    <w:rsid w:val="37357164"/>
    <w:rsid w:val="373D070E"/>
    <w:rsid w:val="374C0952"/>
    <w:rsid w:val="37695060"/>
    <w:rsid w:val="377A101B"/>
    <w:rsid w:val="379C3687"/>
    <w:rsid w:val="37DD0593"/>
    <w:rsid w:val="37F039D3"/>
    <w:rsid w:val="3801798E"/>
    <w:rsid w:val="385950D4"/>
    <w:rsid w:val="38832151"/>
    <w:rsid w:val="38B8629F"/>
    <w:rsid w:val="38D26C34"/>
    <w:rsid w:val="38EC7CF6"/>
    <w:rsid w:val="39007C46"/>
    <w:rsid w:val="391E1E7A"/>
    <w:rsid w:val="39627FB8"/>
    <w:rsid w:val="39825BEC"/>
    <w:rsid w:val="39A607ED"/>
    <w:rsid w:val="39DC7D6B"/>
    <w:rsid w:val="39E66E3B"/>
    <w:rsid w:val="3A0E2CDB"/>
    <w:rsid w:val="3A1F5EA9"/>
    <w:rsid w:val="3A231E3E"/>
    <w:rsid w:val="3A4818A4"/>
    <w:rsid w:val="3A52002D"/>
    <w:rsid w:val="3A63223A"/>
    <w:rsid w:val="3A72247D"/>
    <w:rsid w:val="3AAE6CA8"/>
    <w:rsid w:val="3ACA4067"/>
    <w:rsid w:val="3AD35612"/>
    <w:rsid w:val="3B0A0908"/>
    <w:rsid w:val="3B194FEF"/>
    <w:rsid w:val="3B8A37F6"/>
    <w:rsid w:val="3BC62A80"/>
    <w:rsid w:val="3BD827B4"/>
    <w:rsid w:val="3BEE647B"/>
    <w:rsid w:val="3BFD263F"/>
    <w:rsid w:val="3C073099"/>
    <w:rsid w:val="3C0E2679"/>
    <w:rsid w:val="3C1D466B"/>
    <w:rsid w:val="3C340E32"/>
    <w:rsid w:val="3C5502A8"/>
    <w:rsid w:val="3C5C1637"/>
    <w:rsid w:val="3C720E5A"/>
    <w:rsid w:val="3CCF005B"/>
    <w:rsid w:val="3CD37AB2"/>
    <w:rsid w:val="3CD70CBD"/>
    <w:rsid w:val="3CE60F00"/>
    <w:rsid w:val="3D424389"/>
    <w:rsid w:val="3D5567B2"/>
    <w:rsid w:val="3D6C7658"/>
    <w:rsid w:val="3D8B21D4"/>
    <w:rsid w:val="3DE418E4"/>
    <w:rsid w:val="3E047890"/>
    <w:rsid w:val="3E111FAD"/>
    <w:rsid w:val="3E1A70B4"/>
    <w:rsid w:val="3E371A14"/>
    <w:rsid w:val="3E75253C"/>
    <w:rsid w:val="3E88226F"/>
    <w:rsid w:val="3EB92D70"/>
    <w:rsid w:val="3EF21DDE"/>
    <w:rsid w:val="3EFE0783"/>
    <w:rsid w:val="3F067638"/>
    <w:rsid w:val="3F125FDD"/>
    <w:rsid w:val="3F1B1335"/>
    <w:rsid w:val="3F1C50AD"/>
    <w:rsid w:val="3F2D1069"/>
    <w:rsid w:val="3F3D74FE"/>
    <w:rsid w:val="3F4C7741"/>
    <w:rsid w:val="3F6F51DD"/>
    <w:rsid w:val="3FBD23EC"/>
    <w:rsid w:val="3FD06D05"/>
    <w:rsid w:val="403A57EB"/>
    <w:rsid w:val="403C5A07"/>
    <w:rsid w:val="406B1E48"/>
    <w:rsid w:val="40896772"/>
    <w:rsid w:val="40D479EE"/>
    <w:rsid w:val="40F57964"/>
    <w:rsid w:val="40FC0CF2"/>
    <w:rsid w:val="4114603C"/>
    <w:rsid w:val="413E755D"/>
    <w:rsid w:val="416C231C"/>
    <w:rsid w:val="41717932"/>
    <w:rsid w:val="4182744A"/>
    <w:rsid w:val="41886A2A"/>
    <w:rsid w:val="419D24D5"/>
    <w:rsid w:val="41AA6042"/>
    <w:rsid w:val="41E5643D"/>
    <w:rsid w:val="41E71902"/>
    <w:rsid w:val="42072045"/>
    <w:rsid w:val="42162288"/>
    <w:rsid w:val="421E702D"/>
    <w:rsid w:val="42426BD9"/>
    <w:rsid w:val="42725710"/>
    <w:rsid w:val="430A1DED"/>
    <w:rsid w:val="43106CD7"/>
    <w:rsid w:val="43324E9F"/>
    <w:rsid w:val="43476B9D"/>
    <w:rsid w:val="4359067E"/>
    <w:rsid w:val="436F1C50"/>
    <w:rsid w:val="437B23A2"/>
    <w:rsid w:val="43A86F10"/>
    <w:rsid w:val="43ED0DC6"/>
    <w:rsid w:val="44022AC4"/>
    <w:rsid w:val="442E1B0B"/>
    <w:rsid w:val="44C9538F"/>
    <w:rsid w:val="44F71EFD"/>
    <w:rsid w:val="44F85C75"/>
    <w:rsid w:val="4513485D"/>
    <w:rsid w:val="455E1514"/>
    <w:rsid w:val="45790B64"/>
    <w:rsid w:val="457C68A6"/>
    <w:rsid w:val="458A2D71"/>
    <w:rsid w:val="45A1630C"/>
    <w:rsid w:val="45B002FD"/>
    <w:rsid w:val="45D1550C"/>
    <w:rsid w:val="45EC57D9"/>
    <w:rsid w:val="46003033"/>
    <w:rsid w:val="464B69A4"/>
    <w:rsid w:val="464E3D9E"/>
    <w:rsid w:val="465810C1"/>
    <w:rsid w:val="46715CDF"/>
    <w:rsid w:val="4792415F"/>
    <w:rsid w:val="47A81BD4"/>
    <w:rsid w:val="47FC5A7C"/>
    <w:rsid w:val="481132D5"/>
    <w:rsid w:val="4812529F"/>
    <w:rsid w:val="483D40CA"/>
    <w:rsid w:val="484E4529"/>
    <w:rsid w:val="485D651B"/>
    <w:rsid w:val="48684EBF"/>
    <w:rsid w:val="48AC1250"/>
    <w:rsid w:val="48E72288"/>
    <w:rsid w:val="49435691"/>
    <w:rsid w:val="496164DE"/>
    <w:rsid w:val="49725FF6"/>
    <w:rsid w:val="49886629"/>
    <w:rsid w:val="499E328F"/>
    <w:rsid w:val="499E503D"/>
    <w:rsid w:val="49A34401"/>
    <w:rsid w:val="49D5239D"/>
    <w:rsid w:val="49EC224C"/>
    <w:rsid w:val="4A01737A"/>
    <w:rsid w:val="4A0A4480"/>
    <w:rsid w:val="4A2F3EE7"/>
    <w:rsid w:val="4A38723F"/>
    <w:rsid w:val="4A541B9F"/>
    <w:rsid w:val="4A6F69D9"/>
    <w:rsid w:val="4AC97E97"/>
    <w:rsid w:val="4AEE78FE"/>
    <w:rsid w:val="4B007A08"/>
    <w:rsid w:val="4B137364"/>
    <w:rsid w:val="4B6B0F4E"/>
    <w:rsid w:val="4B863FDA"/>
    <w:rsid w:val="4BDC3BFA"/>
    <w:rsid w:val="4BF61160"/>
    <w:rsid w:val="4C0118B3"/>
    <w:rsid w:val="4C1B2975"/>
    <w:rsid w:val="4C3B3017"/>
    <w:rsid w:val="4C455C43"/>
    <w:rsid w:val="4C6F2CC0"/>
    <w:rsid w:val="4C786019"/>
    <w:rsid w:val="4C8F5111"/>
    <w:rsid w:val="4CA46E0E"/>
    <w:rsid w:val="4CAD156A"/>
    <w:rsid w:val="4CB608EF"/>
    <w:rsid w:val="4CE27936"/>
    <w:rsid w:val="4CF60CEC"/>
    <w:rsid w:val="4CFA4C80"/>
    <w:rsid w:val="4D20220D"/>
    <w:rsid w:val="4D2770F7"/>
    <w:rsid w:val="4D3637DE"/>
    <w:rsid w:val="4D4128AF"/>
    <w:rsid w:val="4D7367E0"/>
    <w:rsid w:val="4DAC584E"/>
    <w:rsid w:val="4DB72B71"/>
    <w:rsid w:val="4DDD3C5A"/>
    <w:rsid w:val="4DDF79D2"/>
    <w:rsid w:val="4DE60D60"/>
    <w:rsid w:val="4DEF40B9"/>
    <w:rsid w:val="4E047438"/>
    <w:rsid w:val="4E143B1F"/>
    <w:rsid w:val="4E281379"/>
    <w:rsid w:val="4E323FA5"/>
    <w:rsid w:val="4E50267E"/>
    <w:rsid w:val="4E557C94"/>
    <w:rsid w:val="4E5C1022"/>
    <w:rsid w:val="4E9609D8"/>
    <w:rsid w:val="4EA01857"/>
    <w:rsid w:val="4EB15812"/>
    <w:rsid w:val="4EE74D90"/>
    <w:rsid w:val="4FBD3D43"/>
    <w:rsid w:val="4FC275AB"/>
    <w:rsid w:val="4FE92D8A"/>
    <w:rsid w:val="4FF04118"/>
    <w:rsid w:val="50083210"/>
    <w:rsid w:val="500951DA"/>
    <w:rsid w:val="50153B7F"/>
    <w:rsid w:val="50746AF7"/>
    <w:rsid w:val="5076286F"/>
    <w:rsid w:val="507C1E50"/>
    <w:rsid w:val="509C1BAA"/>
    <w:rsid w:val="50E61077"/>
    <w:rsid w:val="50EA6DB9"/>
    <w:rsid w:val="510A12B9"/>
    <w:rsid w:val="51453FF0"/>
    <w:rsid w:val="514F30C0"/>
    <w:rsid w:val="516C3E2A"/>
    <w:rsid w:val="51703763"/>
    <w:rsid w:val="519805C3"/>
    <w:rsid w:val="51986815"/>
    <w:rsid w:val="51A52BFC"/>
    <w:rsid w:val="51AA02F7"/>
    <w:rsid w:val="51C55131"/>
    <w:rsid w:val="51E90E1F"/>
    <w:rsid w:val="51EE0B2B"/>
    <w:rsid w:val="52432C25"/>
    <w:rsid w:val="5298130E"/>
    <w:rsid w:val="52AF02BB"/>
    <w:rsid w:val="52E02222"/>
    <w:rsid w:val="52F97788"/>
    <w:rsid w:val="530103EA"/>
    <w:rsid w:val="53165C44"/>
    <w:rsid w:val="532E5683"/>
    <w:rsid w:val="532F4F57"/>
    <w:rsid w:val="53436CB1"/>
    <w:rsid w:val="53740BBC"/>
    <w:rsid w:val="53901E9A"/>
    <w:rsid w:val="53990623"/>
    <w:rsid w:val="53E775E0"/>
    <w:rsid w:val="54372316"/>
    <w:rsid w:val="54482775"/>
    <w:rsid w:val="544B7B6F"/>
    <w:rsid w:val="54770964"/>
    <w:rsid w:val="54890697"/>
    <w:rsid w:val="54A83213"/>
    <w:rsid w:val="54CB6F02"/>
    <w:rsid w:val="54CD67D6"/>
    <w:rsid w:val="54CF07A0"/>
    <w:rsid w:val="54D97871"/>
    <w:rsid w:val="54F2623D"/>
    <w:rsid w:val="54F41FB5"/>
    <w:rsid w:val="55081F04"/>
    <w:rsid w:val="552A00CC"/>
    <w:rsid w:val="558570B1"/>
    <w:rsid w:val="55B15612"/>
    <w:rsid w:val="55C0458D"/>
    <w:rsid w:val="55F9418E"/>
    <w:rsid w:val="56061449"/>
    <w:rsid w:val="5627460C"/>
    <w:rsid w:val="56446F6C"/>
    <w:rsid w:val="565F7902"/>
    <w:rsid w:val="56625644"/>
    <w:rsid w:val="569C0B56"/>
    <w:rsid w:val="56AE77EF"/>
    <w:rsid w:val="5702429F"/>
    <w:rsid w:val="57441E9D"/>
    <w:rsid w:val="57766D7F"/>
    <w:rsid w:val="578F4217"/>
    <w:rsid w:val="57A35F14"/>
    <w:rsid w:val="57B22417"/>
    <w:rsid w:val="57B65C47"/>
    <w:rsid w:val="57E9601D"/>
    <w:rsid w:val="5805272B"/>
    <w:rsid w:val="58164938"/>
    <w:rsid w:val="586D5F90"/>
    <w:rsid w:val="58801DB1"/>
    <w:rsid w:val="58873140"/>
    <w:rsid w:val="58881D5C"/>
    <w:rsid w:val="58BD6B62"/>
    <w:rsid w:val="58C3061C"/>
    <w:rsid w:val="58C44394"/>
    <w:rsid w:val="58D8399B"/>
    <w:rsid w:val="58F307D5"/>
    <w:rsid w:val="5932754F"/>
    <w:rsid w:val="5960230F"/>
    <w:rsid w:val="597C07CB"/>
    <w:rsid w:val="59E720E8"/>
    <w:rsid w:val="59F42A57"/>
    <w:rsid w:val="5A3115B5"/>
    <w:rsid w:val="5A3310E0"/>
    <w:rsid w:val="5A5D23AA"/>
    <w:rsid w:val="5A72571A"/>
    <w:rsid w:val="5AB53F94"/>
    <w:rsid w:val="5AC4067B"/>
    <w:rsid w:val="5B347DF2"/>
    <w:rsid w:val="5B413A7A"/>
    <w:rsid w:val="5B465534"/>
    <w:rsid w:val="5B8816A9"/>
    <w:rsid w:val="5B9462A0"/>
    <w:rsid w:val="5BA069F2"/>
    <w:rsid w:val="5BC16969"/>
    <w:rsid w:val="5BC22E0D"/>
    <w:rsid w:val="5BE663CF"/>
    <w:rsid w:val="5C0A6562"/>
    <w:rsid w:val="5C221AFD"/>
    <w:rsid w:val="5C272C70"/>
    <w:rsid w:val="5C390BF5"/>
    <w:rsid w:val="5C5D2B35"/>
    <w:rsid w:val="5CCB7A9F"/>
    <w:rsid w:val="5CE15514"/>
    <w:rsid w:val="5CEE19DF"/>
    <w:rsid w:val="5D072AA1"/>
    <w:rsid w:val="5D0B2591"/>
    <w:rsid w:val="5D184CAE"/>
    <w:rsid w:val="5D192F00"/>
    <w:rsid w:val="5D1F603D"/>
    <w:rsid w:val="5D221689"/>
    <w:rsid w:val="5D381A93"/>
    <w:rsid w:val="5DC0337C"/>
    <w:rsid w:val="5DF5729F"/>
    <w:rsid w:val="5E033269"/>
    <w:rsid w:val="5E053485"/>
    <w:rsid w:val="5E055233"/>
    <w:rsid w:val="5E176D14"/>
    <w:rsid w:val="5E2751A9"/>
    <w:rsid w:val="5E4F64AE"/>
    <w:rsid w:val="5E6301AB"/>
    <w:rsid w:val="5E960581"/>
    <w:rsid w:val="5ED115B9"/>
    <w:rsid w:val="5EE72B8A"/>
    <w:rsid w:val="5F16521D"/>
    <w:rsid w:val="5F2931A3"/>
    <w:rsid w:val="5F4D1265"/>
    <w:rsid w:val="5F5F6BC4"/>
    <w:rsid w:val="5F69359F"/>
    <w:rsid w:val="5F6B5569"/>
    <w:rsid w:val="5F8D1984"/>
    <w:rsid w:val="5FD17AC2"/>
    <w:rsid w:val="604F6C39"/>
    <w:rsid w:val="605C4EB2"/>
    <w:rsid w:val="605D1356"/>
    <w:rsid w:val="607246D5"/>
    <w:rsid w:val="6082700E"/>
    <w:rsid w:val="60A76A75"/>
    <w:rsid w:val="60AD570E"/>
    <w:rsid w:val="60C767CF"/>
    <w:rsid w:val="611F2AAF"/>
    <w:rsid w:val="6123136F"/>
    <w:rsid w:val="613F280A"/>
    <w:rsid w:val="6142054C"/>
    <w:rsid w:val="616404C2"/>
    <w:rsid w:val="618741B1"/>
    <w:rsid w:val="619E1C26"/>
    <w:rsid w:val="61D50637"/>
    <w:rsid w:val="61F5736C"/>
    <w:rsid w:val="623B56C7"/>
    <w:rsid w:val="625B51D9"/>
    <w:rsid w:val="62614A02"/>
    <w:rsid w:val="629E17B2"/>
    <w:rsid w:val="62A93924"/>
    <w:rsid w:val="62C70D09"/>
    <w:rsid w:val="633B5253"/>
    <w:rsid w:val="63416D0D"/>
    <w:rsid w:val="635307EE"/>
    <w:rsid w:val="63585E05"/>
    <w:rsid w:val="636E73D6"/>
    <w:rsid w:val="637C6114"/>
    <w:rsid w:val="63974B7F"/>
    <w:rsid w:val="63C96D02"/>
    <w:rsid w:val="63E36016"/>
    <w:rsid w:val="641461CF"/>
    <w:rsid w:val="64373C6C"/>
    <w:rsid w:val="64504D2E"/>
    <w:rsid w:val="6488096B"/>
    <w:rsid w:val="64B96D77"/>
    <w:rsid w:val="64D4595F"/>
    <w:rsid w:val="65393A14"/>
    <w:rsid w:val="65A215B9"/>
    <w:rsid w:val="65D72CBE"/>
    <w:rsid w:val="65F8742B"/>
    <w:rsid w:val="660758C0"/>
    <w:rsid w:val="660D1128"/>
    <w:rsid w:val="66291CDA"/>
    <w:rsid w:val="663D12E2"/>
    <w:rsid w:val="664A412A"/>
    <w:rsid w:val="665054B9"/>
    <w:rsid w:val="66524D8D"/>
    <w:rsid w:val="66703465"/>
    <w:rsid w:val="66A7157D"/>
    <w:rsid w:val="66AB0941"/>
    <w:rsid w:val="66F61BBC"/>
    <w:rsid w:val="67010561"/>
    <w:rsid w:val="670C7632"/>
    <w:rsid w:val="67874F0A"/>
    <w:rsid w:val="67C9107F"/>
    <w:rsid w:val="67E22141"/>
    <w:rsid w:val="67E45EB9"/>
    <w:rsid w:val="688B4586"/>
    <w:rsid w:val="68AB69D7"/>
    <w:rsid w:val="68AE0FB4"/>
    <w:rsid w:val="68CF4DBB"/>
    <w:rsid w:val="68DE0B5A"/>
    <w:rsid w:val="69232A11"/>
    <w:rsid w:val="6942733B"/>
    <w:rsid w:val="69470DF5"/>
    <w:rsid w:val="696C43B8"/>
    <w:rsid w:val="6990454A"/>
    <w:rsid w:val="69BF098B"/>
    <w:rsid w:val="69DA5011"/>
    <w:rsid w:val="6A415844"/>
    <w:rsid w:val="6A8D0FAF"/>
    <w:rsid w:val="6AA33E09"/>
    <w:rsid w:val="6AA858C3"/>
    <w:rsid w:val="6AE554AB"/>
    <w:rsid w:val="6B574BF4"/>
    <w:rsid w:val="6B681825"/>
    <w:rsid w:val="6B6A4927"/>
    <w:rsid w:val="6BA918F3"/>
    <w:rsid w:val="6BAC3191"/>
    <w:rsid w:val="6BAF67DE"/>
    <w:rsid w:val="6BDA3380"/>
    <w:rsid w:val="6BF16DF6"/>
    <w:rsid w:val="6BFB5EC7"/>
    <w:rsid w:val="6C042FCD"/>
    <w:rsid w:val="6C6B4DFB"/>
    <w:rsid w:val="6C7C2B64"/>
    <w:rsid w:val="6CBF0CA2"/>
    <w:rsid w:val="6CBF5146"/>
    <w:rsid w:val="6CCD1DB7"/>
    <w:rsid w:val="6CE1330F"/>
    <w:rsid w:val="6D3451EC"/>
    <w:rsid w:val="6D6D06FE"/>
    <w:rsid w:val="6D77332B"/>
    <w:rsid w:val="6DAA54AF"/>
    <w:rsid w:val="6DAD31F1"/>
    <w:rsid w:val="6DFB0400"/>
    <w:rsid w:val="6E153270"/>
    <w:rsid w:val="6E31797E"/>
    <w:rsid w:val="6E531FEA"/>
    <w:rsid w:val="6EEA46FD"/>
    <w:rsid w:val="6F280D81"/>
    <w:rsid w:val="6F7B35A7"/>
    <w:rsid w:val="6F963F3C"/>
    <w:rsid w:val="6F9B1553"/>
    <w:rsid w:val="6FA115EA"/>
    <w:rsid w:val="6FB940CF"/>
    <w:rsid w:val="6FB97C2B"/>
    <w:rsid w:val="702A28D7"/>
    <w:rsid w:val="704C0A9F"/>
    <w:rsid w:val="705F6A24"/>
    <w:rsid w:val="70657DB3"/>
    <w:rsid w:val="70822713"/>
    <w:rsid w:val="70871AD7"/>
    <w:rsid w:val="70ED2282"/>
    <w:rsid w:val="713752AB"/>
    <w:rsid w:val="714B7563"/>
    <w:rsid w:val="716360A0"/>
    <w:rsid w:val="717A163C"/>
    <w:rsid w:val="71E60A7F"/>
    <w:rsid w:val="71F15DA2"/>
    <w:rsid w:val="71F66F14"/>
    <w:rsid w:val="723932A5"/>
    <w:rsid w:val="72395053"/>
    <w:rsid w:val="728A58AF"/>
    <w:rsid w:val="72B017B9"/>
    <w:rsid w:val="72BC63B0"/>
    <w:rsid w:val="72C25048"/>
    <w:rsid w:val="72DA6836"/>
    <w:rsid w:val="72E01973"/>
    <w:rsid w:val="72E96A79"/>
    <w:rsid w:val="732C6966"/>
    <w:rsid w:val="732D105C"/>
    <w:rsid w:val="734C0DB6"/>
    <w:rsid w:val="7372081D"/>
    <w:rsid w:val="73840550"/>
    <w:rsid w:val="739F538A"/>
    <w:rsid w:val="73AF1A71"/>
    <w:rsid w:val="744877CF"/>
    <w:rsid w:val="748C1DB2"/>
    <w:rsid w:val="74C50E20"/>
    <w:rsid w:val="74D379E1"/>
    <w:rsid w:val="74E22C52"/>
    <w:rsid w:val="752C5351"/>
    <w:rsid w:val="7535244A"/>
    <w:rsid w:val="754601B3"/>
    <w:rsid w:val="758807CB"/>
    <w:rsid w:val="75B570E6"/>
    <w:rsid w:val="75BC0475"/>
    <w:rsid w:val="75ED6880"/>
    <w:rsid w:val="75F25C45"/>
    <w:rsid w:val="7614205F"/>
    <w:rsid w:val="76234559"/>
    <w:rsid w:val="76393874"/>
    <w:rsid w:val="767A2611"/>
    <w:rsid w:val="76880357"/>
    <w:rsid w:val="769413F2"/>
    <w:rsid w:val="76962A74"/>
    <w:rsid w:val="76C23869"/>
    <w:rsid w:val="76CC0B8C"/>
    <w:rsid w:val="76F65C09"/>
    <w:rsid w:val="775748F9"/>
    <w:rsid w:val="7782124A"/>
    <w:rsid w:val="77CE623E"/>
    <w:rsid w:val="780F6F82"/>
    <w:rsid w:val="78782D79"/>
    <w:rsid w:val="78CC09CF"/>
    <w:rsid w:val="78DD498A"/>
    <w:rsid w:val="78EA70A7"/>
    <w:rsid w:val="790F4D60"/>
    <w:rsid w:val="79297BCF"/>
    <w:rsid w:val="79492020"/>
    <w:rsid w:val="796450AB"/>
    <w:rsid w:val="799A1262"/>
    <w:rsid w:val="799F60E4"/>
    <w:rsid w:val="79A25BD4"/>
    <w:rsid w:val="79AC25AE"/>
    <w:rsid w:val="7A230AC3"/>
    <w:rsid w:val="7A262361"/>
    <w:rsid w:val="7A304F8E"/>
    <w:rsid w:val="7A434CC1"/>
    <w:rsid w:val="7A7A445B"/>
    <w:rsid w:val="7A910122"/>
    <w:rsid w:val="7B187EFC"/>
    <w:rsid w:val="7B2A5E81"/>
    <w:rsid w:val="7B424F78"/>
    <w:rsid w:val="7B51340D"/>
    <w:rsid w:val="7B8E4662"/>
    <w:rsid w:val="7B9652C4"/>
    <w:rsid w:val="7BA07EF1"/>
    <w:rsid w:val="7BA23C69"/>
    <w:rsid w:val="7BBA0FB3"/>
    <w:rsid w:val="7BC9569A"/>
    <w:rsid w:val="7C23124E"/>
    <w:rsid w:val="7C3A0345"/>
    <w:rsid w:val="7C4A67DB"/>
    <w:rsid w:val="7C4D62CB"/>
    <w:rsid w:val="7C991510"/>
    <w:rsid w:val="7CC3658D"/>
    <w:rsid w:val="7CEF32F1"/>
    <w:rsid w:val="7D0C3A90"/>
    <w:rsid w:val="7D217D87"/>
    <w:rsid w:val="7D717D97"/>
    <w:rsid w:val="7D7F0706"/>
    <w:rsid w:val="7DD30A52"/>
    <w:rsid w:val="7DE247F1"/>
    <w:rsid w:val="7E002EC9"/>
    <w:rsid w:val="7E3F39F1"/>
    <w:rsid w:val="7EBE0DBA"/>
    <w:rsid w:val="7EC108AA"/>
    <w:rsid w:val="7EFB200E"/>
    <w:rsid w:val="7F032C71"/>
    <w:rsid w:val="7F671451"/>
    <w:rsid w:val="7F7064F3"/>
    <w:rsid w:val="7FC44AF6"/>
    <w:rsid w:val="7FE23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autoRedefine/>
    <w:qFormat/>
    <w:uiPriority w:val="22"/>
    <w:rPr>
      <w:b/>
      <w:bCs/>
    </w:rPr>
  </w:style>
  <w:style w:type="character" w:styleId="30">
    <w:name w:val="page number"/>
    <w:autoRedefine/>
    <w:qFormat/>
    <w:uiPriority w:val="0"/>
    <w:rPr>
      <w:rFonts w:ascii="宋体" w:hAnsi="Times New Roman" w:eastAsia="宋体" w:cs="Times New Roman"/>
      <w:kern w:val="2"/>
      <w:sz w:val="18"/>
      <w:szCs w:val="21"/>
      <w:lang w:val="en-US" w:eastAsia="zh-CN" w:bidi="ar-SA"/>
    </w:rPr>
  </w:style>
  <w:style w:type="character" w:styleId="31">
    <w:name w:val="Emphasis"/>
    <w:autoRedefine/>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Char"/>
    <w:link w:val="2"/>
    <w:autoRedefine/>
    <w:qFormat/>
    <w:uiPriority w:val="0"/>
    <w:rPr>
      <w:b/>
      <w:bCs/>
      <w:kern w:val="44"/>
      <w:sz w:val="44"/>
      <w:szCs w:val="44"/>
    </w:rPr>
  </w:style>
  <w:style w:type="character" w:customStyle="1" w:styleId="35">
    <w:name w:val="标题 2 Char"/>
    <w:link w:val="3"/>
    <w:autoRedefine/>
    <w:qFormat/>
    <w:uiPriority w:val="0"/>
    <w:rPr>
      <w:rFonts w:ascii="Arial" w:hAnsi="Arial" w:eastAsia="黑体"/>
      <w:b/>
      <w:bCs/>
      <w:kern w:val="2"/>
      <w:sz w:val="32"/>
      <w:szCs w:val="32"/>
    </w:rPr>
  </w:style>
  <w:style w:type="character" w:customStyle="1" w:styleId="36">
    <w:name w:val="标题 3 Char"/>
    <w:link w:val="4"/>
    <w:autoRedefine/>
    <w:qFormat/>
    <w:uiPriority w:val="0"/>
    <w:rPr>
      <w:b/>
      <w:bCs/>
      <w:kern w:val="2"/>
      <w:sz w:val="32"/>
      <w:szCs w:val="32"/>
    </w:rPr>
  </w:style>
  <w:style w:type="character" w:customStyle="1" w:styleId="37">
    <w:name w:val="标题 4 Char"/>
    <w:link w:val="5"/>
    <w:autoRedefine/>
    <w:qFormat/>
    <w:uiPriority w:val="0"/>
    <w:rPr>
      <w:rFonts w:ascii="Arial" w:hAnsi="Arial" w:eastAsia="黑体"/>
      <w:b/>
      <w:bCs/>
      <w:kern w:val="2"/>
      <w:sz w:val="28"/>
      <w:szCs w:val="28"/>
    </w:rPr>
  </w:style>
  <w:style w:type="character" w:customStyle="1" w:styleId="38">
    <w:name w:val="标题 5 Char"/>
    <w:link w:val="6"/>
    <w:autoRedefine/>
    <w:qFormat/>
    <w:uiPriority w:val="0"/>
    <w:rPr>
      <w:b/>
      <w:bCs/>
      <w:kern w:val="2"/>
      <w:sz w:val="28"/>
      <w:szCs w:val="28"/>
    </w:rPr>
  </w:style>
  <w:style w:type="character" w:customStyle="1" w:styleId="39">
    <w:name w:val="标题 6 Char"/>
    <w:link w:val="7"/>
    <w:autoRedefine/>
    <w:qFormat/>
    <w:uiPriority w:val="0"/>
    <w:rPr>
      <w:rFonts w:ascii="Arial" w:hAnsi="Arial" w:eastAsia="黑体"/>
      <w:b/>
      <w:bCs/>
      <w:kern w:val="2"/>
      <w:sz w:val="24"/>
      <w:szCs w:val="24"/>
    </w:rPr>
  </w:style>
  <w:style w:type="character" w:customStyle="1" w:styleId="40">
    <w:name w:val="标题 7 Char"/>
    <w:link w:val="8"/>
    <w:autoRedefine/>
    <w:qFormat/>
    <w:uiPriority w:val="0"/>
    <w:rPr>
      <w:b/>
      <w:bCs/>
      <w:kern w:val="2"/>
      <w:sz w:val="24"/>
      <w:szCs w:val="24"/>
    </w:rPr>
  </w:style>
  <w:style w:type="character" w:customStyle="1" w:styleId="41">
    <w:name w:val="标题 8 Char"/>
    <w:link w:val="9"/>
    <w:autoRedefine/>
    <w:qFormat/>
    <w:uiPriority w:val="0"/>
    <w:rPr>
      <w:rFonts w:ascii="Arial" w:hAnsi="Arial" w:eastAsia="黑体"/>
      <w:kern w:val="2"/>
      <w:sz w:val="24"/>
      <w:szCs w:val="24"/>
    </w:rPr>
  </w:style>
  <w:style w:type="character" w:customStyle="1" w:styleId="42">
    <w:name w:val="标题 9 Char"/>
    <w:link w:val="10"/>
    <w:autoRedefine/>
    <w:qFormat/>
    <w:uiPriority w:val="0"/>
    <w:rPr>
      <w:rFonts w:ascii="Arial" w:hAnsi="Arial" w:eastAsia="黑体"/>
      <w:kern w:val="2"/>
      <w:sz w:val="21"/>
      <w:szCs w:val="21"/>
    </w:rPr>
  </w:style>
  <w:style w:type="character" w:customStyle="1" w:styleId="43">
    <w:name w:val="页眉 Char"/>
    <w:link w:val="18"/>
    <w:autoRedefine/>
    <w:qFormat/>
    <w:uiPriority w:val="99"/>
    <w:rPr>
      <w:kern w:val="2"/>
      <w:sz w:val="18"/>
      <w:szCs w:val="18"/>
    </w:rPr>
  </w:style>
  <w:style w:type="character" w:customStyle="1" w:styleId="44">
    <w:name w:val="页脚 Char"/>
    <w:link w:val="17"/>
    <w:autoRedefine/>
    <w:qFormat/>
    <w:uiPriority w:val="99"/>
    <w:rPr>
      <w:rFonts w:ascii="宋体"/>
      <w:kern w:val="2"/>
      <w:sz w:val="18"/>
      <w:szCs w:val="18"/>
    </w:rPr>
  </w:style>
  <w:style w:type="character" w:customStyle="1" w:styleId="45">
    <w:name w:val="批注框文本 Char"/>
    <w:link w:val="16"/>
    <w:autoRedefine/>
    <w:semiHidden/>
    <w:qFormat/>
    <w:uiPriority w:val="99"/>
    <w:rPr>
      <w:kern w:val="2"/>
      <w:sz w:val="18"/>
      <w:szCs w:val="18"/>
    </w:rPr>
  </w:style>
  <w:style w:type="paragraph" w:styleId="46">
    <w:name w:val="Quote"/>
    <w:basedOn w:val="1"/>
    <w:next w:val="1"/>
    <w:link w:val="47"/>
    <w:autoRedefine/>
    <w:qFormat/>
    <w:uiPriority w:val="29"/>
    <w:rPr>
      <w:i/>
      <w:iCs/>
      <w:color w:val="000000"/>
    </w:rPr>
  </w:style>
  <w:style w:type="character" w:customStyle="1" w:styleId="47">
    <w:name w:val="引用 Char"/>
    <w:link w:val="46"/>
    <w:autoRedefine/>
    <w:qFormat/>
    <w:uiPriority w:val="29"/>
    <w:rPr>
      <w:i/>
      <w:iCs/>
      <w:color w:val="000000"/>
      <w:kern w:val="2"/>
      <w:sz w:val="21"/>
      <w:szCs w:val="21"/>
    </w:rPr>
  </w:style>
  <w:style w:type="character" w:customStyle="1" w:styleId="48">
    <w:name w:val="标题 Char"/>
    <w:link w:val="25"/>
    <w:autoRedefine/>
    <w:qFormat/>
    <w:uiPriority w:val="0"/>
    <w:rPr>
      <w:rFonts w:ascii="Arial" w:hAnsi="Arial" w:cs="Arial"/>
      <w:b/>
      <w:bCs/>
      <w:kern w:val="2"/>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autoRedefine/>
    <w:qFormat/>
    <w:uiPriority w:val="0"/>
    <w:rPr>
      <w:kern w:val="2"/>
      <w:sz w:val="21"/>
      <w:szCs w:val="21"/>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不明显参考1"/>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autoRedefine/>
    <w:semiHidden/>
    <w:qFormat/>
    <w:uiPriority w:val="0"/>
    <w:rPr>
      <w:rFonts w:ascii="宋体"/>
      <w:kern w:val="2"/>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50" w:beforeLines="50" w:after="50" w:afterLines="5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autoRedefine/>
    <w:qFormat/>
    <w:uiPriority w:val="0"/>
    <w:pPr>
      <w:widowControl/>
      <w:adjustRightInd/>
      <w:jc w:val="center"/>
    </w:pPr>
    <w:rPr>
      <w:rFonts w:ascii="黑体" w:eastAsia="黑体"/>
    </w:rPr>
  </w:style>
  <w:style w:type="paragraph" w:customStyle="1" w:styleId="135">
    <w:name w:val="附录一级无标题条"/>
    <w:basedOn w:val="87"/>
    <w:next w:val="56"/>
    <w:autoRedefine/>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autoRedefine/>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autoRedefine/>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autoRedefine/>
    <w:qFormat/>
    <w:uiPriority w:val="0"/>
    <w:pPr>
      <w:numPr>
        <w:ilvl w:val="0"/>
        <w:numId w:val="24"/>
      </w:numPr>
      <w:ind w:firstLine="0" w:firstLineChars="0"/>
    </w:pPr>
    <w:rPr>
      <w:rFonts w:cs="Arial"/>
      <w:szCs w:val="28"/>
    </w:rPr>
  </w:style>
  <w:style w:type="paragraph" w:customStyle="1" w:styleId="170">
    <w:name w:val="标准文件_附录标题"/>
    <w:basedOn w:val="76"/>
    <w:autoRedefine/>
    <w:qFormat/>
    <w:uiPriority w:val="0"/>
    <w:pPr>
      <w:numPr>
        <w:numId w:val="0"/>
      </w:numPr>
      <w:spacing w:after="280"/>
      <w:outlineLvl w:val="9"/>
    </w:pPr>
  </w:style>
  <w:style w:type="paragraph" w:customStyle="1" w:styleId="171">
    <w:name w:val="标准文件_二级项"/>
    <w:autoRedefine/>
    <w:qFormat/>
    <w:uiPriority w:val="0"/>
    <w:rPr>
      <w:rFonts w:ascii="宋体" w:hAnsi="Times New Roman" w:eastAsia="宋体" w:cs="Times New Roman"/>
      <w:sz w:val="21"/>
      <w:lang w:val="en-US" w:eastAsia="zh-CN" w:bidi="ar-SA"/>
    </w:rPr>
  </w:style>
  <w:style w:type="paragraph" w:customStyle="1" w:styleId="172">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autoRedefine/>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autoRedefine/>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wrap="around"/>
      <w:spacing w:before="57"/>
    </w:pPr>
    <w:rPr>
      <w:sz w:val="21"/>
    </w:rPr>
  </w:style>
  <w:style w:type="paragraph" w:customStyle="1" w:styleId="197">
    <w:name w:val="标准文件_文件名称"/>
    <w:basedOn w:val="56"/>
    <w:next w:val="56"/>
    <w:autoRedefine/>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autoRedefine/>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autoRedefine/>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autoRedefine/>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autoRedefine/>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autoRedefine/>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autoRedefine/>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autoRedefine/>
    <w:qFormat/>
    <w:uiPriority w:val="0"/>
    <w:pPr>
      <w:ind w:left="811" w:firstLine="0" w:firstLineChars="0"/>
    </w:pPr>
    <w:rPr>
      <w:sz w:val="18"/>
    </w:rPr>
  </w:style>
  <w:style w:type="paragraph" w:customStyle="1" w:styleId="206">
    <w:name w:val="标准文件_注X后"/>
    <w:basedOn w:val="56"/>
    <w:autoRedefine/>
    <w:qFormat/>
    <w:uiPriority w:val="0"/>
    <w:pPr>
      <w:ind w:left="811" w:firstLine="0" w:firstLineChars="0"/>
    </w:pPr>
    <w:rPr>
      <w:sz w:val="18"/>
    </w:rPr>
  </w:style>
  <w:style w:type="paragraph" w:customStyle="1" w:styleId="207">
    <w:name w:val="标准文件_示例后"/>
    <w:basedOn w:val="56"/>
    <w:autoRedefine/>
    <w:qFormat/>
    <w:uiPriority w:val="0"/>
    <w:pPr>
      <w:ind w:left="964" w:firstLine="0" w:firstLineChars="0"/>
    </w:pPr>
    <w:rPr>
      <w:sz w:val="18"/>
    </w:rPr>
  </w:style>
  <w:style w:type="paragraph" w:customStyle="1" w:styleId="208">
    <w:name w:val="标准文件_示例X后"/>
    <w:basedOn w:val="56"/>
    <w:link w:val="209"/>
    <w:autoRedefine/>
    <w:qFormat/>
    <w:uiPriority w:val="0"/>
    <w:pPr>
      <w:ind w:left="1049" w:firstLine="0" w:firstLineChars="0"/>
    </w:pPr>
    <w:rPr>
      <w:sz w:val="18"/>
    </w:rPr>
  </w:style>
  <w:style w:type="character" w:customStyle="1" w:styleId="209">
    <w:name w:val="标准文件_示例X后 字符"/>
    <w:basedOn w:val="184"/>
    <w:link w:val="208"/>
    <w:autoRedefine/>
    <w:qFormat/>
    <w:uiPriority w:val="0"/>
    <w:rPr>
      <w:rFonts w:ascii="宋体" w:hAnsi="Times New Roman"/>
      <w:sz w:val="18"/>
    </w:rPr>
  </w:style>
  <w:style w:type="paragraph" w:customStyle="1" w:styleId="210">
    <w:name w:val="标准文件_索引项"/>
    <w:basedOn w:val="56"/>
    <w:next w:val="56"/>
    <w:autoRedefine/>
    <w:qFormat/>
    <w:uiPriority w:val="0"/>
    <w:pPr>
      <w:tabs>
        <w:tab w:val="right" w:leader="dot" w:pos="9356"/>
      </w:tabs>
      <w:ind w:left="210" w:hanging="210" w:firstLineChars="0"/>
      <w:jc w:val="left"/>
    </w:pPr>
  </w:style>
  <w:style w:type="paragraph" w:customStyle="1" w:styleId="211">
    <w:name w:val="标准文件_附录一级无标题"/>
    <w:basedOn w:val="78"/>
    <w:autoRedefine/>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autoRedefine/>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autoRedefine/>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autoRedefine/>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autoRedefine/>
    <w:qFormat/>
    <w:uiPriority w:val="0"/>
    <w:pPr>
      <w:spacing w:before="0" w:beforeLines="0" w:after="0" w:afterLines="0" w:line="276" w:lineRule="auto"/>
    </w:pPr>
    <w:rPr>
      <w:rFonts w:ascii="宋体" w:eastAsia="宋体"/>
    </w:rPr>
  </w:style>
  <w:style w:type="paragraph" w:customStyle="1" w:styleId="218">
    <w:name w:val="标准文件_引言三级无标题"/>
    <w:basedOn w:val="202"/>
    <w:autoRedefine/>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autoRedefine/>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autoRedefine/>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autoRedefine/>
    <w:qFormat/>
    <w:uiPriority w:val="0"/>
    <w:rPr>
      <w:rFonts w:hAnsi="黑体"/>
    </w:rPr>
  </w:style>
  <w:style w:type="paragraph" w:customStyle="1" w:styleId="222">
    <w:name w:val="标准文件_脚注内容"/>
    <w:basedOn w:val="56"/>
    <w:autoRedefine/>
    <w:qFormat/>
    <w:uiPriority w:val="0"/>
    <w:pPr>
      <w:ind w:left="400" w:leftChars="200" w:hanging="200" w:hangingChars="200"/>
    </w:pPr>
    <w:rPr>
      <w:sz w:val="15"/>
    </w:rPr>
  </w:style>
  <w:style w:type="paragraph" w:customStyle="1" w:styleId="223">
    <w:name w:val="标准文件_术语条一"/>
    <w:basedOn w:val="162"/>
    <w:next w:val="56"/>
    <w:autoRedefine/>
    <w:qFormat/>
    <w:uiPriority w:val="0"/>
  </w:style>
  <w:style w:type="paragraph" w:customStyle="1" w:styleId="224">
    <w:name w:val="标准文件_术语条二"/>
    <w:basedOn w:val="165"/>
    <w:next w:val="56"/>
    <w:autoRedefine/>
    <w:qFormat/>
    <w:uiPriority w:val="0"/>
  </w:style>
  <w:style w:type="paragraph" w:customStyle="1" w:styleId="225">
    <w:name w:val="标准文件_术语条三"/>
    <w:basedOn w:val="164"/>
    <w:next w:val="56"/>
    <w:autoRedefine/>
    <w:qFormat/>
    <w:uiPriority w:val="0"/>
  </w:style>
  <w:style w:type="paragraph" w:customStyle="1" w:styleId="226">
    <w:name w:val="标准文件_术语条四"/>
    <w:basedOn w:val="167"/>
    <w:next w:val="56"/>
    <w:autoRedefine/>
    <w:qFormat/>
    <w:uiPriority w:val="0"/>
  </w:style>
  <w:style w:type="paragraph" w:customStyle="1" w:styleId="227">
    <w:name w:val="标准文件_术语条五"/>
    <w:basedOn w:val="163"/>
    <w:next w:val="56"/>
    <w:autoRedefine/>
    <w:qFormat/>
    <w:uiPriority w:val="0"/>
  </w:style>
  <w:style w:type="paragraph" w:customStyle="1" w:styleId="22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autoRedefine/>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463EEA2447D4B5D8801B18F58E98CA2"/>
        <w:style w:val=""/>
        <w:category>
          <w:name w:val="常规"/>
          <w:gallery w:val="placeholder"/>
        </w:category>
        <w:types>
          <w:type w:val="bbPlcHdr"/>
        </w:types>
        <w:behaviors>
          <w:behavior w:val="content"/>
        </w:behaviors>
        <w:description w:val=""/>
        <w:guid w:val="{B842067D-294F-4798-B12C-678C4F93A74F}"/>
      </w:docPartPr>
      <w:docPartBody>
        <w:p w14:paraId="74B766D7">
          <w:pPr>
            <w:pStyle w:val="5"/>
          </w:pPr>
          <w:r>
            <w:rPr>
              <w:rStyle w:val="4"/>
              <w:rFonts w:hint="eastAsia"/>
            </w:rPr>
            <w:t>单击或点击此处输入文字。</w:t>
          </w:r>
        </w:p>
      </w:docPartBody>
    </w:docPart>
    <w:docPart>
      <w:docPartPr>
        <w:name w:val="A9EC799F015D46F59B6B1FE99D5A4C20"/>
        <w:style w:val=""/>
        <w:category>
          <w:name w:val="常规"/>
          <w:gallery w:val="placeholder"/>
        </w:category>
        <w:types>
          <w:type w:val="bbPlcHdr"/>
        </w:types>
        <w:behaviors>
          <w:behavior w:val="content"/>
        </w:behaviors>
        <w:description w:val=""/>
        <w:guid w:val="{F94CB5B1-0B09-48C7-B80A-BC3A005ACF6C}"/>
      </w:docPartPr>
      <w:docPartBody>
        <w:p w14:paraId="0CF7E4FC">
          <w:pPr>
            <w:pStyle w:val="6"/>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615"/>
    <w:rsid w:val="00093978"/>
    <w:rsid w:val="000E55E8"/>
    <w:rsid w:val="001D5418"/>
    <w:rsid w:val="00530615"/>
    <w:rsid w:val="00860950"/>
    <w:rsid w:val="00F751B2"/>
    <w:rsid w:val="00FB1DE3"/>
    <w:rsid w:val="00FE26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F463EEA2447D4B5D8801B18F58E98CA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A9EC799F015D46F59B6B1FE99D5A4C20"/>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A4537A9510D4CB0B2AFC0275F7DD7E5"/>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2F6EA2-CD1A-4D8C-895C-DFE6CA703FA5}">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10</Pages>
  <Words>3291</Words>
  <Characters>3767</Characters>
  <Lines>35</Lines>
  <Paragraphs>10</Paragraphs>
  <TotalTime>12</TotalTime>
  <ScaleCrop>false</ScaleCrop>
  <LinksUpToDate>false</LinksUpToDate>
  <CharactersWithSpaces>4029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2023-06-16T11:02:00Z</dcterms:created>
  <dc:creator>xb21cn</dc:creator>
  <dc:description>&lt;config cover="true" show_menu="true" version="1.0.0" doctype="SDKXY"&gt;_x000d_
&lt;/config&gt;</dc:description>
  <cp:lastModifiedBy>陈星瞳</cp:lastModifiedBy>
  <cp:lastPrinted>2020-08-30T10:00:00Z</cp:lastPrinted>
  <dcterms:modified xsi:type="dcterms:W3CDTF">2024-09-27T01:39:32Z</dcterms:modified>
  <dc:title>地方标准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2052-12.1.0.18276</vt:lpwstr>
  </property>
  <property fmtid="{D5CDD505-2E9C-101B-9397-08002B2CF9AE}" pid="15" name="ICV">
    <vt:lpwstr>9E41163432F3411C81D023F34AE0D6B9_13</vt:lpwstr>
  </property>
</Properties>
</file>